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MolkMeistPrV 2021 — Betriebswirtschaftliche Situationsanalyse</w:t>
      </w:r>
    </w:p>
    <w:p>
      <w:r>
        <w:rPr>
          <w:color w:val="555555"/>
          <w:sz w:val="18"/>
        </w:rPr>
        <w:t xml:space="preserve">Molkereimeister-Prüfungsverordnung</w:t>
      </w:r>
    </w:p>
    <w:p>
      <w:r>
        <w:rPr>
          <w:color w:val="555555"/>
          <w:sz w:val="18"/>
        </w:rPr>
        <w:t xml:space="preserve">Stand: 16.09.2021 (konsolidierte Textfassung, kein amtliches Inkrafttretensdatum)</w:t>
      </w:r>
    </w:p>
    <w:p>
      <w:r>
        <w:t xml:space="preserve">(1) In der betriebswirtschaftlichen Situationsanalyse hat die zu prüfende Person eine betriebswirtschaftlich relevante unternehmerische Situation zu analysieren, zu bewerten und Lösungsvorschläge zu entwickeln. Die Situation wird vom Prüfungsausschuss vorgegeben und muss sich auf die in § 10 Absatz 2 genannten Inhalte beziehen.</w:t>
      </w:r>
    </w:p>
    <w:p>
      <w:r>
        <w:t xml:space="preserve">(2) Die zu prüfende Person hat die Analyse und Bewertung der vorgegebenen Situation sowie die auf dieser Basis entwickelten Lösungsvorschläge schriftlich zu dokumentieren und in einem Fachgespräch zu erläutern. Das Fachgespräch erstreckt sich auf die Ergebnisse der Situationsanalyse sowie auf die hierfür relevanten Prüfungsinhalte nach § 10 Absatz 2.</w:t>
      </w:r>
    </w:p>
    <w:p>
      <w:r>
        <w:t xml:space="preserve">(3) Für die Durchführung der betriebswirtschaftlichen Situationsanalyse stehen 14 Kalendertage zur Verfügung. Das Fachgespräch soll nicht länger als 45 Minuten dauern.</w:t>
      </w:r>
    </w:p>
    <w:p>
      <w:r>
        <w:rPr>
          <w:color w:val="555555"/>
          <w:sz w:val="17"/>
        </w:rPr>
        <w:t xml:space="preserve">Zitiervorschlag: § 12 MolkMeistPrV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https://recht.nulegal.eu/gesetze/MolkMeistPrV%202021/12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MolkMeistPrV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