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ModistAusbV — Berufsfeldbreite Grundbildung</w:t>
      </w:r>
    </w:p>
    <w:p>
      <w:r>
        <w:rPr>
          <w:color w:val="555555"/>
          <w:sz w:val="18"/>
        </w:rPr>
        <w:t xml:space="preserve">Verordnung über die Berufsausbildung zum Modisten/zur Modistin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im ersten Ausbildungsjahr vermittelt eine berufsfeldbreite Grundbildung, wenn die betriebliche Ausbildung nach dieser Ausbildungsverordnung und die Ausbildung in der Berufsschule nach den landesrechtlichen Vorschriften über das Berufsgrundbildungsjahr erfolgen.</w:t>
      </w:r>
    </w:p>
    <w:p>
      <w:r>
        <w:rPr>
          <w:color w:val="555555"/>
          <w:sz w:val="17"/>
        </w:rPr>
        <w:t xml:space="preserve">Zitiervorschlag: § 4 ModistAusbV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https://recht.nulegal.eu/gesetze/ModistAusbV/4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