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ModellBTechAusbV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und auf Grund des § 25 Absatz 1 in Verbindung mit § 26 Absatz 1 und 2 der Handwerksordnung in der Fassung der Bekanntmachung vom 24. September 1998 (BGBl. I S. 3074; 2006 I S. 2095), von denen § 25 Absatz 1 zuletzt durch Artikel 146 der Verordnung vom 31. Oktober 2006 (BGBl. I S. 2407) und § 26 durch Artikel 2 Nummer 4 des Gesetzes vom 23. März 2005 (BGBl. I S. 931)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