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ModellBTechAusbV — Außerkrafttreten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13.08.2026 (konsolidierte Textfassung, kein amtliches Inkrafttretensdatum)</w:t>
      </w:r>
    </w:p>
    <w:p>
      <w:r>
        <w:t xml:space="preserve">Diese Verordnung tritt mit Ablauf des 31. Juli 2027 außer Kraft.</w:t>
      </w:r>
    </w:p>
    <w:p>
      <w:r>
        <w:rPr>
          <w:color w:val="555555"/>
          <w:sz w:val="17"/>
        </w:rPr>
        <w:t xml:space="preserve">Zitiervorschlag: § 16 ModellBTechAusbV</w:t>
      </w:r>
    </w:p>
    <w:p>
      <w:r>
        <w:rPr>
          <w:color w:val="555555"/>
          <w:sz w:val="17"/>
        </w:rPr>
        <w:t xml:space="preserve">Quelle: Bundesamt für Justiz, abgerufen 13.08.2026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