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ModellBTechAusbV — Mündliche Ergänzungsprüfung</w:t>
      </w:r>
    </w:p>
    <w:p>
      <w:r>
        <w:rPr>
          <w:color w:val="555555"/>
          <w:sz w:val="18"/>
        </w:rPr>
        <w:t xml:space="preserve">Verordnung über die Berufsausbildung zum Technischen Modellbauer/zur Technischen Modellbauerin</w:t>
      </w:r>
    </w:p>
    <w:p>
      <w:r>
        <w:rPr>
          <w:color w:val="555555"/>
          <w:sz w:val="18"/>
        </w:rPr>
        <w:t xml:space="preserve">Stand: 10.06.2019 (konsolidierte Textfassung, kein amtliches Inkrafttretensdatum)</w:t>
      </w:r>
    </w:p>
    <w:p>
      <w:r>
        <w:t xml:space="preserve">Auf Antrag des Prüflings ist die Prüfung in einem der in Teil 2 der Abschlussprüfung/Gesellenprüfung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14 ModellBTechAusbV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https://recht.nulegal.eu/gesetze/ModellBTechAusbV/14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