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MobVerkKflAusbV — Prüfungsbereich „Mobilitätsdienstleistungen und projektorientiertes Arbeiten“</w:t>
      </w:r>
    </w:p>
    <w:p>
      <w:r>
        <w:rPr>
          <w:color w:val="555555"/>
          <w:sz w:val="18"/>
        </w:rPr>
        <w:t xml:space="preserve">Mobilitäts-und-Verkehrsservice-Kaufleute-Ausbildungsverordnung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Prüfungsbereich „Mobilitätsdienstleistungen und projektorientiertes Arbeiten“ hat der Prüfling nachzuweisen, dass er in der Lage ist,</w:t>
      </w:r>
    </w:p>
    <w:p>
      <w:pPr>
        <w:ind w:left="420"/>
      </w:pPr>
      <w:r>
        <w:t xml:space="preserve">1. die Planung und Strukturierung betrieblicher Projekte sowie deren Projektmanagementmethoden zu beschreiben,</w:t>
      </w:r>
    </w:p>
    <w:p>
      <w:pPr>
        <w:ind w:left="420"/>
      </w:pPr>
      <w:r>
        <w:t xml:space="preserve">2. intermodale und multimodale Verkehrsmodelle zu beschreiben sowie dabei rechtliche und marktbezogene Regelungen zu erläutern,</w:t>
      </w:r>
    </w:p>
    <w:p>
      <w:pPr>
        <w:ind w:left="420"/>
      </w:pPr>
      <w:r>
        <w:t xml:space="preserve">3. einen komplexen Beförderungsauftrag unter Einbeziehung datenbasierter Mobilitätsplattformen und multimodaler Mobilitätsdienstleistungen zu planen, durchzuführen und auszuwerten,</w:t>
      </w:r>
    </w:p>
    <w:p>
      <w:pPr>
        <w:ind w:left="420"/>
      </w:pPr>
      <w:r>
        <w:t xml:space="preserve">4. Marketinginstrumente anzuwenden,</w:t>
      </w:r>
    </w:p>
    <w:p>
      <w:pPr>
        <w:ind w:left="420"/>
      </w:pPr>
      <w:r>
        <w:t xml:space="preserve">5. anhand betrieblicher Kennzahlen Schlussfolgerungen auf die Wirtschaftlichkeit von Verkehrsprodukten abzuleiten und</w:t>
      </w:r>
    </w:p>
    <w:p>
      <w:pPr>
        <w:ind w:left="420"/>
      </w:pPr>
      <w:r>
        <w:t xml:space="preserve">6. die englische Sprache situations- und berufsbezogen anzuwenden.</w:t>
      </w:r>
    </w:p>
    <w:p>
      <w:r>
        <w:t xml:space="preserve">(2) Der Prüfling hat die Aufgaben schriftlich zu bearbeiten. Die Aufgaben müssen praxisbezogen sein. Für den Nachweis nach Absatz 1 sind Aufgaben mit ungebundenem Antwortformat einzusetzen.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12 MobVerkKflAusbV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https://recht.nulegal.eu/gesetze/MobVerkKflAusbV/12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