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MobVerkKflAusbV — Prüfungsbereich „Notfalleinrichtungen und Sicherheitsmanagement“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„Notfalleinrichtungen und Sicherheitsmanagement“ hat der Prüfling nachzuweisen, dass er in der Lage ist,</w:t>
      </w:r>
    </w:p>
    <w:p>
      <w:pPr>
        <w:ind w:left="420"/>
      </w:pPr>
      <w:r>
        <w:t xml:space="preserve">1. rechtliche Regelungen und betriebliche Vorgaben im Notfall einzuhalten und gegenüber dem Kunden zu erläutern,</w:t>
      </w:r>
    </w:p>
    <w:p>
      <w:pPr>
        <w:ind w:left="420"/>
      </w:pPr>
      <w:r>
        <w:t xml:space="preserve">2. Handlungsanweisungen der betrieblichen Selbst- und Fremdrettung in Notfallsituationen umzusetzen sowie</w:t>
      </w:r>
    </w:p>
    <w:p>
      <w:pPr>
        <w:ind w:left="420"/>
      </w:pPr>
      <w:r>
        <w:t xml:space="preserve">3. englischsprachige Fachbegriffe anzuwenden und englischsprachige Informationen zu erteilen.</w:t>
      </w:r>
    </w:p>
    <w:p>
      <w:r>
        <w:t xml:space="preserve">(2) Der Prüfling hat die Aufgaben schriftlich zu bearbeiten. Die Aufgaben müssen praxisbezogen sein.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11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