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MobVerkKflAusbV — Prüfungsbereiche des Teiles 2</w:t>
      </w:r>
    </w:p>
    <w:p>
      <w:r>
        <w:rPr>
          <w:color w:val="555555"/>
          <w:sz w:val="18"/>
        </w:rPr>
        <w:t xml:space="preserve">Mobilitäts-und-Verkehrsservice-Kaufleute-Ausbildungsverordnung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Teil 2 der Abschlussprüfung findet in den folgenden Prüfungsbereichen statt:</w:t>
      </w:r>
    </w:p>
    <w:p>
      <w:pPr>
        <w:ind w:left="420"/>
      </w:pPr>
      <w:r>
        <w:t xml:space="preserve">1. „Notfalleinrichtungen und Sicherheitsmanagement“,</w:t>
      </w:r>
    </w:p>
    <w:p>
      <w:pPr>
        <w:ind w:left="420"/>
      </w:pPr>
      <w:r>
        <w:t xml:space="preserve">2. „Mobilitätsdienstleistungen und projektorientiertes Arbeiten“,</w:t>
      </w:r>
    </w:p>
    <w:p>
      <w:pPr>
        <w:ind w:left="420"/>
      </w:pPr>
      <w:r>
        <w:t xml:space="preserve">3. „Kommunikation, Service und Betreuung“ sowie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10 MobVerkKflAusbV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https://recht.nulegal.eu/gesetze/MobVerkKflAusbV/10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