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MobHV — Ordnungswidrigkeiten</w:t>
      </w:r>
    </w:p>
    <w:p>
      <w:r>
        <w:rPr>
          <w:color w:val="555555"/>
          <w:sz w:val="18"/>
        </w:rPr>
        <w:t xml:space="preserve">Mobilitätshilfenverordnung</w:t>
      </w:r>
    </w:p>
    <w:p>
      <w:r>
        <w:rPr>
          <w:color w:val="555555"/>
          <w:sz w:val="18"/>
        </w:rPr>
        <w:t xml:space="preserve">Historische Fassung: Stand 10.06.2019 bis 15.06.2019. Dies ist nicht die aktuelle Fassung.</w:t>
      </w:r>
    </w:p>
    <w:p>
      <w:r>
        <w:t xml:space="preserve">Ordnungswidrig im Sinne des § 24 des Straßenverkehrsgesetzes handelt, wer vorsätzlich oder fahrlässig</w:t>
      </w:r>
    </w:p>
    <w:p>
      <w:pPr>
        <w:ind w:left="420"/>
      </w:pPr>
      <w:r>
        <w:t xml:space="preserve">1. entgegen § 2 Absatz 1, § 4, § 5 oder § 6 eine elektronische Mobilitätshilfe in Betrieb setzt,</w:t>
      </w:r>
    </w:p>
    <w:p>
      <w:pPr>
        <w:ind w:left="420"/>
      </w:pPr>
      <w:r>
        <w:t xml:space="preserve">2. entgegen § 3 eine Mobilitätshilfe führt, ohne mindestens die Berechtigung zum Führen eines Mofas nachgewiesen zu haben, oder</w:t>
      </w:r>
    </w:p>
    <w:p>
      <w:pPr>
        <w:ind w:left="420"/>
      </w:pPr>
      <w:r>
        <w:t xml:space="preserve">3. einer Vorschrift des § 7 Absatz 2 oder Absatz 3 über zulässige Verkehrsflächen oder des § 7 Absatz 4 Satz 1, 2 oder Satz 5 über Anforderungen an die Teilnahme am Straßenverkehr zuwiderhandelt.</w:t>
      </w:r>
    </w:p>
    <w:p>
      <w:r>
        <w:rPr>
          <w:color w:val="555555"/>
          <w:sz w:val="17"/>
        </w:rPr>
        <w:t xml:space="preserve">Zitiervorschlag: § 8 MobHV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