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MobHV — Zulässige Verkehrsflächen, Anforderungen an die Teilnahme am Straßenverkehr</w:t>
      </w:r>
    </w:p>
    <w:p>
      <w:r>
        <w:rPr>
          <w:color w:val="555555"/>
          <w:sz w:val="18"/>
        </w:rPr>
        <w:t xml:space="preserve">Mobilitätshilfenverordnung</w:t>
      </w:r>
    </w:p>
    <w:p>
      <w:r>
        <w:rPr>
          <w:color w:val="555555"/>
          <w:sz w:val="18"/>
        </w:rPr>
        <w:t xml:space="preserve">Historische Fassung: Stand 10.06.2019 bis 15.06.2019. Dies ist nicht die aktuelle Fassung.</w:t>
      </w:r>
    </w:p>
    <w:p>
      <w:r>
        <w:t xml:space="preserve">(1) Wer elektronische Mobilitätshilfen im Verkehr führt, unterliegt den Vorschriften der Straßenverkehrs-Ordnung.</w:t>
      </w:r>
    </w:p>
    <w:p>
      <w:r>
        <w:t xml:space="preserve">(2) Innerhalb geschlossener Ortschaften dürfen abweichend von Absatz 1 nur Schutzstreifen, Radfahrstreifen, Radwegefurten und Radwege befahren werden. Wenn solche nicht vorhanden sind, darf auf Fahrbahnen gefahren werden.</w:t>
      </w:r>
    </w:p>
    <w:p>
      <w:r>
        <w:t xml:space="preserve">(3) Außerhalb geschlossener Ortschaften dürfen abweichend von Absatz 1 nur Schutzstreifen, Radfahrstreifen, Radwegefurten und Radwege befahren werden. Wenn solche nicht vorhanden sind, darf auf Fahrbahnen von Straßen, die nicht Bundes-, Landes- oder Kreisstraßen sind, und auf Wegen gefahren werden.</w:t>
      </w:r>
    </w:p>
    <w:p>
      <w:r>
        <w:t xml:space="preserve">(4) Abweichend von Absatz 1 darf mit elektronischen Mobilitätshilfen von dem Gebot, auf Fahrbahnen mit mehreren Fahrstreifen möglichst weit rechts zu fahren, nicht abgewichen werden. Wer elektronische Mobilitätshilfen führt, muss einzeln hintereinander fahren, darf sich nicht an Fahrzeuge anhängen und nicht freihändig fahren. In Fahrradstraßen darf auch nebeneinander gefahren werden. Ist ein Verbot für Fahrzeuge aller Art (Zeichen 250) angezeigt, dürfen elektronische Mobilitätshilfen geschoben werden. Soweit keine Fahrtrichtungsanzeiger vorhanden sind, sind Richtungsänderungen durch Handzeichen anzuzeigen.</w:t>
      </w:r>
    </w:p>
    <w:p>
      <w:r>
        <w:t xml:space="preserve">(5) Wer eine Mobilitätshilfe auf anderen Verkehrsflächen als Fahrbahnen führt, muss seine Geschwindigkeit anpassen. Fußgänger haben Vorrang, sie dürfen weder gefährdet noch behindert werden. Radfahrern ist das Überholen zu ermöglichen. Ist eine Richtung durch Zusatzzeichen vorgegeben, so gilt diese entsprechend für den Verkehr mit elektronischen Mobilitätshilfen.</w:t>
      </w:r>
    </w:p>
    <w:p>
      <w:r>
        <w:t xml:space="preserve">(6) Abweichend von den Absätzen 1 bis 3 können die Straßenverkehrsbehörden Ausnahmen für das Fahren mit elektronischen Mobilitätshilfen auf anderen Verkehrsflächen für bestimmte Einzelfälle oder allgemein für bestimmte Antragsteller zulassen.</w:t>
      </w:r>
    </w:p>
    <w:p>
      <w:r>
        <w:rPr>
          <w:color w:val="555555"/>
          <w:sz w:val="17"/>
        </w:rPr>
        <w:t xml:space="preserve">Zitiervorschlag: § 7 MobHV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https://recht.nulegal.eu/gesetze/MobHV/7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