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MobHV — Anforderung an die Schalleinrichtung</w:t>
      </w:r>
    </w:p>
    <w:p>
      <w:r>
        <w:rPr>
          <w:color w:val="555555"/>
          <w:sz w:val="18"/>
        </w:rPr>
        <w:t xml:space="preserve">Mobilitätshilfenverordnung</w:t>
      </w:r>
    </w:p>
    <w:p>
      <w:r>
        <w:rPr>
          <w:color w:val="555555"/>
          <w:sz w:val="18"/>
        </w:rPr>
        <w:t xml:space="preserve">Historische Fassung: Stand 10.06.2019 bis 15.06.2019. Dies ist nicht die aktuelle Fassung.</w:t>
      </w:r>
    </w:p>
    <w:p>
      <w:r>
        <w:t xml:space="preserve">Eine Mobilitätshilfe darf nur in Betrieb gesetzt werden, wenn sie mit einer Glocke ausgerüstet ist.</w:t>
      </w:r>
    </w:p>
    <w:p>
      <w:r>
        <w:rPr>
          <w:color w:val="555555"/>
          <w:sz w:val="17"/>
        </w:rPr>
        <w:t xml:space="preserve">Zitiervorschlag: § 6 MobHV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https://recht.nulegal.eu/gesetze/MobHV/6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