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MobHV — Anforderung an die Verzögerungseinrichtung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Eine Mobilitätshilfe darf nur in Betrieb gesetzt werden, wenn sie mit einer dem in § 1 Absatz 1 Nummer 1 bis 4 beschriebenen Fortbewegungskonzept entsprechenden Verzögerungseinrichtung ausgerüstet ist, die</w:t>
      </w:r>
    </w:p>
    <w:p>
      <w:pPr>
        <w:ind w:left="420"/>
      </w:pPr>
      <w:r>
        <w:t xml:space="preserve">1. das Fahrzeug bis zum Stillstand abbremsen kann und</w:t>
      </w:r>
    </w:p>
    <w:p>
      <w:pPr>
        <w:ind w:left="420"/>
      </w:pPr>
      <w:r>
        <w:t xml:space="preserve">2. mindestens einen Verzögerungswert von 3,5 m/s2 erreicht.</w:t>
      </w:r>
    </w:p>
    <w:p>
      <w:r>
        <w:rPr>
          <w:color w:val="555555"/>
          <w:sz w:val="17"/>
        </w:rPr>
        <w:t xml:space="preserve">Zitiervorschlag: § 4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