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MobHV — Anforderungen an das Inbetriebsetzen</w:t>
      </w:r>
    </w:p>
    <w:p>
      <w:r>
        <w:rPr>
          <w:color w:val="555555"/>
          <w:sz w:val="18"/>
        </w:rPr>
        <w:t xml:space="preserve">Mobilitätshilfenverordnung</w:t>
      </w:r>
    </w:p>
    <w:p>
      <w:r>
        <w:rPr>
          <w:color w:val="555555"/>
          <w:sz w:val="18"/>
        </w:rPr>
        <w:t xml:space="preserve">Historische Fassung: Stand 10.06.2019 bis 15.06.2019. Dies ist nicht die aktuelle Fassung.</w:t>
      </w:r>
    </w:p>
    <w:p>
      <w:r>
        <w:t xml:space="preserve">(1) Eine Mobilitätshilfe darf auf öffentlichen Straßen nur in Betrieb gesetzt werden, wenn sie</w:t>
      </w:r>
    </w:p>
    <w:p>
      <w:pPr>
        <w:ind w:left="420"/>
      </w:pPr>
      <w:r>
        <w:t xml:space="preserve">1. einem genehmigten Typ entspricht sowie</w:t>
      </w:r>
    </w:p>
    <w:p>
      <w:pPr>
        <w:ind w:left="420"/>
      </w:pPr>
      <w:r>
        <w:t xml:space="preserve">2. ein gültiges Versicherungskennzeichen nach § 26 in Verbindung mit § 27 der Fahrzeug-Zulassungsverordnung führt.</w:t>
      </w:r>
    </w:p>
    <w:p>
      <w:r>
        <w:t xml:space="preserve">Abweichend von Satz 1 Nummer 1 darf eine Mobilitätshilfe auch in Betrieb gesetzt werden, wenn für sie eine Einzelgenehmigung erteilt worden ist.</w:t>
      </w:r>
    </w:p>
    <w:p>
      <w:r>
        <w:t xml:space="preserve">(2) Es richtet sich die Erteilung</w:t>
      </w:r>
    </w:p>
    <w:p>
      <w:pPr>
        <w:ind w:left="420"/>
      </w:pPr>
      <w:r>
        <w:t xml:space="preserve">1. der Typgenehmigung im Falle des Absatzes 1 Nummer 1 nach den Anforderungen des § 20 der Straßenverkehrs-Zulassungs-Ordnung,</w:t>
      </w:r>
    </w:p>
    <w:p>
      <w:pPr>
        <w:ind w:left="420"/>
      </w:pPr>
      <w:r>
        <w:t xml:space="preserve">2. der Einzelgenehmigung im Falle des Absatzes 1 Satz 2 nach den Anforderungen des § 21 der Straßenverkehrs-Zulassungs-Ordnung.</w:t>
      </w:r>
    </w:p>
    <w:p>
      <w:r>
        <w:t xml:space="preserve">Die Erteilung der in Satz 1 bezeichneten Genehmigungen setzt voraus, dass die Anforderungen des § 1 Absatz 1 und der §§ 4 bis 6 erfüllt sind.</w:t>
      </w:r>
    </w:p>
    <w:p>
      <w:r>
        <w:t xml:space="preserve">(3) § 4 Absatz 5 Satz 1 und Absatz 6 der Fahrzeug-Zulassungsverordnung gilt für den Führer und den Halter einer Mobilitätshilfe entsprechend.</w:t>
      </w:r>
    </w:p>
    <w:p>
      <w:r>
        <w:rPr>
          <w:color w:val="555555"/>
          <w:sz w:val="17"/>
        </w:rPr>
        <w:t xml:space="preserve">Zitiervorschlag: § 2 MobHV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