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MobHV — Anwendungsbereich, Grundsatz der Verwendung</w:t>
      </w:r>
    </w:p>
    <w:p>
      <w:r>
        <w:rPr>
          <w:color w:val="555555"/>
          <w:sz w:val="18"/>
        </w:rPr>
        <w:t xml:space="preserve">Mobilitätshilfenverordnung</w:t>
      </w:r>
    </w:p>
    <w:p>
      <w:r>
        <w:rPr>
          <w:color w:val="555555"/>
          <w:sz w:val="18"/>
        </w:rPr>
        <w:t xml:space="preserve">Historische Fassung: Stand 10.06.2019 bis 15.06.2019. Dies ist nicht die aktuelle Fassung.</w:t>
      </w:r>
    </w:p>
    <w:p>
      <w:r>
        <w:t xml:space="preserve">(1) Diese Verordnung gilt für Fahrzeuge mit elektrischem Antrieb und einer bauartbedingten Höchstgeschwindigkeit von nicht mehr als 20 km/h, die folgende Merkmale aufweisen:</w:t>
      </w:r>
    </w:p>
    <w:p>
      <w:pPr>
        <w:ind w:left="420"/>
      </w:pPr>
      <w:r>
        <w:t xml:space="preserve">1. zweispuriges Kraftfahrzeug mit zwei parallel angeordneten Rädern mit integrierter elektronischer Balance-, Antriebs-, Lenk- und Verzögerungstechnik,</w:t>
      </w:r>
    </w:p>
    <w:p>
      <w:pPr>
        <w:ind w:left="420"/>
      </w:pPr>
      <w:r>
        <w:t xml:space="preserve">2. eine Gesamtbreite von nicht mehr als 0,7 m,</w:t>
      </w:r>
    </w:p>
    <w:p>
      <w:pPr>
        <w:ind w:left="420"/>
      </w:pPr>
      <w:r>
        <w:t xml:space="preserve">3. eine Plattform als Standfläche für einen Fahrer,</w:t>
      </w:r>
    </w:p>
    <w:p>
      <w:pPr>
        <w:ind w:left="420"/>
      </w:pPr>
      <w:r>
        <w:t xml:space="preserve">4. eine lenkerähnliche Haltestange, über die der Fahrer durch Schwerpunktverlagerung die Beschleunigung oder Abbremsung sowie die Lenkung beeinflusst,</w:t>
      </w:r>
    </w:p>
    <w:p>
      <w:pPr>
        <w:ind w:left="420"/>
      </w:pPr>
      <w:r>
        <w:t xml:space="preserve">5. entspricht den Anforderungen der Richtlinie 72/245/EWG des Rates vom 20. Juni 1972 zur Angleichung der Rechtsvorschriften der Mitgliedstaaten über von Fahrzeugen verursachte Funkstörungen (elektromagnetische Verträglichkeit) (ABl. L 152 vom 6.7.1972, S. 15), die zuletzt durch die Richtlinie 2006/96/EG (ABl. L 363 vom 20.12.2006, S. 81) geändert worden ist, in der jeweils geltenden Fassung,</w:t>
      </w:r>
    </w:p>
    <w:p>
      <w:pPr>
        <w:ind w:left="420"/>
      </w:pPr>
      <w:r>
        <w:t xml:space="preserve">6. eine Anzeige für den Energievorrat.</w:t>
      </w:r>
    </w:p>
    <w:p>
      <w:r>
        <w:t xml:space="preserve">(2) Fahrzeuge im Sinne des Absatzes 1 (Mobilitätshilfen) sind Kraftfahrzeuge im Sinne der Straßenverkehrs-Ordnung. Sie dürfen nur nach Maßgabe der folgenden Vorschriften auf öffentlichen Straßen verwendet werden.</w:t>
      </w:r>
    </w:p>
    <w:p>
      <w:r>
        <w:rPr>
          <w:color w:val="555555"/>
          <w:sz w:val="17"/>
        </w:rPr>
        <w:t xml:space="preserve">Zitiervorschlag: § 1 MobHV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