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MntZollDVDV — Aufbau der Ausbildung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04.01.2023 (konsolidierte Textfassung, kein amtliches Inkrafttretensdatum)</w:t>
      </w:r>
    </w:p>
    <w:p>
      <w:r>
        <w:t xml:space="preserve">(1) Die Ausbildung gliedert sich in folgende Abschnitte:</w:t>
      </w:r>
    </w:p>
    <w:p>
      <w:pPr>
        <w:ind w:left="420"/>
      </w:pPr>
      <w:r>
        <w:t xml:space="preserve">1. eine fachtheoretische Ausbildung, bestehend aus einem mindestens fünfmonatigen Einführungslehrgang und einem mindestens viermonatigen Abschlusslehrgang, und</w:t>
      </w:r>
    </w:p>
    <w:p>
      <w:pPr>
        <w:ind w:left="420"/>
      </w:pPr>
      <w:r>
        <w:t xml:space="preserve">2. eine höchstens 15-monatige berufspraktische Ausbildung, bestehend aus Praktika und praxisbezogenen Lehrveranstaltungen.</w:t>
      </w:r>
    </w:p>
    <w:p>
      <w:r>
        <w:t xml:space="preserve">(2) Die fachtheoretische Ausbildung umfasst mindestens 1 000 Lehrveranstaltungsstunden. Die praxisbezogenen Lehrveranstaltungen während der berufspraktischen Ausbildung betragen mindestens 300 Lehrveranstaltungsstunden.</w:t>
      </w:r>
    </w:p>
    <w:p>
      <w:r>
        <w:t xml:space="preserve">(3) Die Teilnahme an den Lehrveranstaltungen ist verpflichtend. Die Auszubildenden sind zum Selbststudium verpflichtet.</w:t>
      </w:r>
    </w:p>
    <w:p>
      <w:r>
        <w:t xml:space="preserve">(3a) Die Generalzolldirektion kann mit Zustimmung des Bundesministeriums der Finanzen festlegen, dass bis zum 31. Dezember 2024 für einzelne oder alle Lehrveranstaltungen digitale Lehrformate genutzt werden können.</w:t>
      </w:r>
    </w:p>
    <w:p>
      <w:r>
        <w:t xml:space="preserve">(4) Für die fachtheoretische Ausbildung und für die praxisbezogenen Lehrveranstaltungen während der berufspraktischen Ausbildung werden die Auszubildenden von den Ausbildungsbehörden an die Generalzolldirektion abgeordnet. Die Praktika werden bei der Ausbildungsbehörde durchgeführt.</w:t>
      </w:r>
    </w:p>
    <w:p>
      <w:r>
        <w:rPr>
          <w:color w:val="555555"/>
          <w:sz w:val="17"/>
        </w:rPr>
        <w:t xml:space="preserve">Zitiervorschlag: § 18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MntZollDVDV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