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17c MntZollDVDV — Bestehen des mündlichen Teils des Auswahlverfahrens</w:t>
      </w:r>
    </w:p>
    <w:p>
      <w:r>
        <w:rPr>
          <w:color w:val="555555"/>
          <w:sz w:val="18"/>
        </w:rPr>
        <w:t xml:space="preserve">Verordnung über den Vorbereitungsdienst für den mittleren nichttechnischen Zolldienst des Bundes</w:t>
      </w:r>
    </w:p>
    <w:p>
      <w:r>
        <w:rPr>
          <w:color w:val="555555"/>
          <w:sz w:val="18"/>
        </w:rPr>
        <w:t xml:space="preserve">Stand: 01.12.2023 (konsolidierte Textfassung, kein amtliches Inkrafttretensdatum)</w:t>
      </w:r>
    </w:p>
    <w:p>
      <w:r>
        <w:t xml:space="preserve">Der mündliche Teil des Auswahlverfahrens ist bestanden, wenn in den Simulationsübungen und im strukturierten Interview jeweils die erforderliche Mindestpunktzahl erreicht worden ist.</w:t>
      </w:r>
    </w:p>
    <w:p>
      <w:r>
        <w:rPr>
          <w:color w:val="555555"/>
          <w:sz w:val="17"/>
        </w:rPr>
        <w:t xml:space="preserve">Zitiervorschlag: § 17c MntZollDVDV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https://recht.nulegal.eu/gesetze/MntZollDVDV/17c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17c MntZollDVDV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