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MntZollDVDV — Schriftlicher Teil des Auswahlverfahrens</w:t>
      </w:r>
    </w:p>
    <w:p>
      <w:r>
        <w:rPr>
          <w:color w:val="555555"/>
          <w:sz w:val="18"/>
        </w:rPr>
        <w:t xml:space="preserve">Verordnung über den Vorbereitungsdienst für den mittleren nichttechnischen Zolldienst des Bundes</w:t>
      </w:r>
    </w:p>
    <w:p>
      <w:r>
        <w:rPr>
          <w:color w:val="555555"/>
          <w:sz w:val="18"/>
        </w:rPr>
        <w:t xml:space="preserve">Stand: 01.12.2023 (konsolidierte Textfassung, kein amtliches Inkrafttretensdatum)</w:t>
      </w:r>
    </w:p>
    <w:p>
      <w:r>
        <w:t xml:space="preserve">(1) Im schriftlichen Teil des Auswahlverfahrens können folgende Kompetenzbereiche geprüft werden:</w:t>
      </w:r>
    </w:p>
    <w:p>
      <w:pPr>
        <w:ind w:left="420"/>
      </w:pPr>
      <w:r>
        <w:t xml:space="preserve">1. kognitive Kompetenzen,</w:t>
      </w:r>
    </w:p>
    <w:p>
      <w:pPr>
        <w:ind w:left="420"/>
      </w:pPr>
      <w:r>
        <w:t xml:space="preserve">2. Kommunikationsfähigkeit,</w:t>
      </w:r>
    </w:p>
    <w:p>
      <w:pPr>
        <w:ind w:left="420"/>
      </w:pPr>
      <w:r>
        <w:t xml:space="preserve">3. Allgemeinwissen und</w:t>
      </w:r>
    </w:p>
    <w:p>
      <w:pPr>
        <w:ind w:left="420"/>
      </w:pPr>
      <w:r>
        <w:t xml:space="preserve">4. Persönlichkeitseigenschaften.</w:t>
      </w:r>
    </w:p>
    <w:p>
      <w:r>
        <w:t xml:space="preserve">(2) Der schriftliche Teil des Auswahlverfahrens besteht aus einem Leistungstest. Die Bearbeitungszeit beträgt höchstens vier Zeitstunden.</w:t>
      </w:r>
    </w:p>
    <w:p>
      <w:r>
        <w:t xml:space="preserve">(3) Zusätzlich zu dem Leistungstest können weitere Auswahlinstrumente angewendet werden, jedoch höchstens zwei der folgenden:</w:t>
      </w:r>
    </w:p>
    <w:p>
      <w:pPr>
        <w:ind w:left="420"/>
      </w:pPr>
      <w:r>
        <w:t xml:space="preserve">1. ein weiterer Leistungstest,</w:t>
      </w:r>
    </w:p>
    <w:p>
      <w:pPr>
        <w:ind w:left="420"/>
      </w:pPr>
      <w:r>
        <w:t xml:space="preserve">2. ein Persönlichkeitstest und</w:t>
      </w:r>
    </w:p>
    <w:p>
      <w:pPr>
        <w:ind w:left="420"/>
      </w:pPr>
      <w:r>
        <w:t xml:space="preserve">3. Simulationsaufgaben.</w:t>
      </w:r>
    </w:p>
    <w:p>
      <w:r>
        <w:t xml:space="preserve">(4) Die Auswahlkommission bewertet die Leistungstests und die weiteren Auswahlinstrumente arbeitsteilig. Sie kann sich bei der Bewertung durch eingewiesene Hilfskräfte oder durch Informationstechnik unterstützen lassen. Bewertungsentscheidungen dürfen nicht ausschließlich auf eine automatisierte Auswertung gestützt werden. Die Gesamtverantwortung für die Auswahl bleibt bei der Auswahlkommission.</w:t>
      </w:r>
    </w:p>
    <w:p>
      <w:r>
        <w:t xml:space="preserve">(5) Falls im schriftlichen Teil neben dem Leistungstest weitere Auswahlinstrumente angewendet werden, kann von der Teilnahme am Auswahlverfahren ausgeschlossen werden, wer in dem Leistungstest nicht die jeweils erforderliche Mindestpunktzahl erreicht hat. Dies gilt nicht für schwerbehinderte Bewerberinnen und Bewerber und diesen gleichgestellte behinderte Bewerberinnen und Bewerber.</w:t>
      </w:r>
    </w:p>
    <w:p>
      <w:r>
        <w:rPr>
          <w:color w:val="555555"/>
          <w:sz w:val="17"/>
        </w:rPr>
        <w:t xml:space="preserve">Zitiervorschlag: § 16 MntZollDVDV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https://recht.nulegal.eu/gesetze/MntZollDVDV/16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