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MntDBwVVDV — (zu § 48 Absatz 2) Leistungsstufensystem für die Fremdsprachenausbildung im Geschäftsbereich des Bundesministeriums der Verteidigung</w:t>
      </w:r>
    </w:p>
    <w:p>
      <w:r>
        <w:rPr>
          <w:color w:val="555555"/>
          <w:sz w:val="18"/>
        </w:rPr>
        <w:t xml:space="preserve">Verordnung über den Vorbereitungsdienst für den mittleren nichttechnischen Verwaltungsdienst in der Bundeswehrverwaltung</w:t>
      </w:r>
    </w:p>
    <w:p>
      <w:r>
        <w:rPr>
          <w:color w:val="555555"/>
          <w:sz w:val="18"/>
        </w:rPr>
        <w:t xml:space="preserve">Stand: 01.09.2022 (konsolidierte Textfassung, kein amtliches Inkrafttretensdatum)</w:t>
      </w:r>
    </w:p>
    <w:p>
      <w:r>
        <w:t xml:space="preserve">(Fundstelle: BGBl. I 2022, 1101)</w:t>
      </w:r>
    </w:p>
    <w:p>
      <w:r>
        <w:t xml:space="preserve">Der geforderte oder in einer Sprachprüfung nachgewiesene Grad der Kompetenz in der Fremdsprache wird als Standardisiertes Leistungsprofil angegeben. Das Standardisierte Leistungsprofil ist eine vierstellige Kennzahl, die in festgelegter Reihenfolge zu jeder der vier Fertigkeiten angegeben wird:</w:t>
      </w:r>
    </w:p>
    <w:p>
      <w:pPr>
        <w:ind w:left="420"/>
      </w:pPr>
      <w:r>
        <w:t xml:space="preserve">– Hörverstehen (erste Stelle),</w:t>
      </w:r>
    </w:p>
    <w:p>
      <w:pPr>
        <w:ind w:left="420"/>
      </w:pPr>
      <w:r>
        <w:t xml:space="preserve">– mündlicher Gebrauch (zweite Stelle),</w:t>
      </w:r>
    </w:p>
    <w:p>
      <w:pPr>
        <w:ind w:left="420"/>
      </w:pPr>
      <w:r>
        <w:t xml:space="preserve">– Leseverstehen (dritte Stelle) und</w:t>
      </w:r>
    </w:p>
    <w:p>
      <w:pPr>
        <w:ind w:left="420"/>
      </w:pPr>
      <w:r>
        <w:t xml:space="preserve">– schriftlicher Gebrauch (vierte Stelle).</w:t>
      </w:r>
    </w:p>
    <w:p>
      <w:r>
        <w:t xml:space="preserve">Die fremdsprachliche Kompetenz wird für jede Fertigkeit in Leistungsstufen nach Maßgabe der folgenden Tabelle angegeben:</w:t>
      </w:r>
    </w:p>
    <w:p>
      <w:r>
        <w:rPr>
          <w:rFonts w:ascii="Courier New" w:hAnsi="Courier New"/>
          <w:sz w:val="17"/>
        </w:rPr>
        <w:t xml:space="preserve">Leistungsstufe    Definition</w:t>
      </w:r>
    </w:p>
    <w:p>
      <w:r>
        <w:rPr>
          <w:rFonts w:ascii="Courier New" w:hAnsi="Courier New"/>
          <w:sz w:val="17"/>
        </w:rPr>
        <w:t xml:space="preserve">1    elementare Kompetenz in der Fremdsprache in einem begrenzten und vertrauten allgemeinen Rahmen</w:t>
      </w:r>
    </w:p>
    <w:p>
      <w:r>
        <w:rPr>
          <w:rFonts w:ascii="Courier New" w:hAnsi="Courier New"/>
          <w:sz w:val="17"/>
        </w:rPr>
        <w:t xml:space="preserve">2    funktionale Kompetenz in der Fremdsprache in einem allgemeinen und beruflichen Rahmen</w:t>
      </w:r>
    </w:p>
    <w:p>
      <w:r>
        <w:rPr>
          <w:rFonts w:ascii="Courier New" w:hAnsi="Courier New"/>
          <w:sz w:val="17"/>
        </w:rPr>
        <w:t xml:space="preserve">3    professionelle Kompetenz in der Fremdsprache im allgemeinen gesellschaftlichen und im beruflich-fachlichen Bereich im Rahmen weniger vertrauter Sachgebiete</w:t>
      </w:r>
    </w:p>
    <w:p>
      <w:r>
        <w:rPr>
          <w:rFonts w:ascii="Courier New" w:hAnsi="Courier New"/>
          <w:sz w:val="17"/>
        </w:rPr>
        <w:t xml:space="preserve">4    muttersprachenähnliche Kompetenz in der Fremdsprache im allgemeinen gesellschaftlichen und im beruflich-fachlichen Bereich im Rahmen nicht vertrauter Sachgebiete</w:t>
      </w:r>
    </w:p>
    <w:p>
      <w:r>
        <w:t xml:space="preserve">Wenn eine Fertigkeit nicht gefordert wird oder nicht geprüft worden ist, wird an der entsprechenden Stelle ein X gesetzt. Ist die geprüfte Leistung in einer Fertigkeit nicht erbracht worden, wird an der entsprechenden Stelle eine 0 gesetzt.</w:t>
      </w:r>
    </w:p>
    <w:p>
      <w:r>
        <w:rPr>
          <w:color w:val="555555"/>
          <w:sz w:val="17"/>
        </w:rPr>
        <w:t xml:space="preserve">Zitiervorschlag: Anlage MntDBwVVDV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https://recht.nulegal.eu/gesetze/MntDBwVVDV/anlage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