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MntDBwVVDV — Gegenstand der mündlichen 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Die mündliche Prüfung erstreckt sich auf unterschiedliche Schwerpunkte</w:t>
      </w:r>
    </w:p>
    <w:p>
      <w:pPr>
        <w:ind w:left="420"/>
      </w:pPr>
      <w:r>
        <w:t xml:space="preserve">1. des Einführungslehrgangs und des Abschlusslehrgangs sowie</w:t>
      </w:r>
    </w:p>
    <w:p>
      <w:pPr>
        <w:ind w:left="420"/>
      </w:pPr>
      <w:r>
        <w:t xml:space="preserve">2. der praktischen Ausbildung und der praxisbezogenen Lehrveranstaltungen.</w:t>
      </w:r>
    </w:p>
    <w:p>
      <w:r>
        <w:t xml:space="preserve">(2) Die Schwerpunkte werden von der Prüfungskommission ausgewählt.</w:t>
      </w:r>
    </w:p>
    <w:p>
      <w:r>
        <w:rPr>
          <w:color w:val="555555"/>
          <w:sz w:val="17"/>
        </w:rPr>
        <w:t xml:space="preserve">Zitiervorschlag: § 79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