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MntDBwVVDV — Bestehen der schriftlichen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schriftliche Prüfung hat bestanden,</w:t>
      </w:r>
    </w:p>
    <w:p>
      <w:pPr>
        <w:ind w:left="420"/>
      </w:pPr>
      <w:r>
        <w:t xml:space="preserve">1. wer in mindestens drei Klausuren jeweils mindestens fünf Rangpunkte erreicht hat und</w:t>
      </w:r>
    </w:p>
    <w:p>
      <w:pPr>
        <w:ind w:left="420"/>
      </w:pPr>
      <w:r>
        <w:t xml:space="preserve">2. bei wem die Rangpunktzahl der schriftlichen Prüfung mindestens 5,00 beträgt.</w:t>
      </w:r>
    </w:p>
    <w:p>
      <w:r>
        <w:t xml:space="preserve">(2) Das Bestehen oder Nichtbestehen wird vom Bildungszentrum der Bundeswehr im Auftrag des Prüfungsamts festgestellt.</w:t>
      </w:r>
    </w:p>
    <w:p>
      <w:r>
        <w:rPr>
          <w:color w:val="555555"/>
          <w:sz w:val="17"/>
        </w:rPr>
        <w:t xml:space="preserve">Zitiervorschlag: § 76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