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MntDBwVVDV — Durchführung der Klausuren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Bei jeder Klausur dürfen nur die vom Prüfungsamt zur Verfügung gestellten Hilfsmittel verwendet werden.</w:t>
      </w:r>
    </w:p>
    <w:p>
      <w:r>
        <w:t xml:space="preserve">(2) Pro Tag darf nur eine Klausur geschrieben werden. Die Klausuren werden an aufeinanderfolgenden Arbeitstagen geschrieben. Nach der ersten und nach der dritten Klausur ist ein freier Tag vorzusehen.</w:t>
      </w:r>
    </w:p>
    <w:p>
      <w:r>
        <w:t xml:space="preserve">(3) Erscheint eine Anwärterin oder ein Anwärter verspätet zu einer Klausur und liegt kein Grund für die Genehmigung einer Verhinderung vor, so gilt die versäumte Zeit als Bearbeitungszeit.</w:t>
      </w:r>
    </w:p>
    <w:p>
      <w:r>
        <w:rPr>
          <w:color w:val="555555"/>
          <w:sz w:val="17"/>
        </w:rPr>
        <w:t xml:space="preserve">Zitiervorschlag: § 72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