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69 MntDBwVVDV — Durchführung der Laufbahnprüfung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Das Prüfungsamt setzt jeweils den Ort und den Termin der schriftlichen Prüfung und der mündlichen Prüfung fest und teilt dies den Anwärterinnen und Anwärtern mit.</w:t>
      </w:r>
    </w:p>
    <w:p>
      <w:r>
        <w:t xml:space="preserve">(2) Die schriftliche Prüfung soll spätestens eine Woche vor Beginn der mündlichen Prüfung abgeschlossen sein.</w:t>
      </w:r>
    </w:p>
    <w:p>
      <w:r>
        <w:rPr>
          <w:color w:val="555555"/>
          <w:sz w:val="17"/>
        </w:rPr>
        <w:t xml:space="preserve">Zitiervorschlag: § 69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