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MntDBwVVDV — Rangpunktzahl der fachtheoretischen Ausbildung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Nach der Beendigung der fachtheoretischen Ausbildung berechnet das Bildungszentrum der Bundeswehr für jede Anwärterin und jeden Anwärter die Rangpunktzahl der fachtheoretischen Ausbildung.</w:t>
      </w:r>
    </w:p>
    <w:p>
      <w:r>
        <w:t xml:space="preserve">(2) In die Rangpunktzahl der fachtheoretischen Ausbildung gehen alle Klausuren und Leistungstests der fachtheoretischen Ausbildung ein. Dabei wird jede Klausur vierfach und jeder Leistungstest einfach gewichtet.</w:t>
      </w:r>
    </w:p>
    <w:p>
      <w:r>
        <w:rPr>
          <w:color w:val="555555"/>
          <w:sz w:val="17"/>
        </w:rPr>
        <w:t xml:space="preserve">Zitiervorschlag: § 35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