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MntDBwVVDV — Abschlusslehrgang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Der Abschlusslehrgang baut ergänzend und vertiefend auf den Lehrinhalten des Einführungslehrgangs und auf den in der praktischen Ausbildung vermittelten Kenntnissen auf.</w:t>
      </w:r>
    </w:p>
    <w:p>
      <w:r>
        <w:t xml:space="preserve">(2) Die Anwärterinnen und Anwärter sollen befähigt werden, die erworbenen Kenntnisse und Fähigkeiten in der täglichen Arbeit anzuwenden.</w:t>
      </w:r>
    </w:p>
    <w:p>
      <w:r>
        <w:rPr>
          <w:color w:val="555555"/>
          <w:sz w:val="17"/>
        </w:rPr>
        <w:t xml:space="preserve">Zitiervorschlag: § 31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