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MntDBwVVDV — Lehrgebiete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Die fachtheoretische Ausbildung erstreckt sich auf folgende Lehrgebiete:</w:t>
      </w:r>
    </w:p>
    <w:p>
      <w:pPr>
        <w:ind w:left="420"/>
      </w:pPr>
      <w:r>
        <w:t xml:space="preserve">1. Staats- und Europarecht,</w:t>
      </w:r>
    </w:p>
    <w:p>
      <w:pPr>
        <w:ind w:left="420"/>
      </w:pPr>
      <w:r>
        <w:t xml:space="preserve">2. Verwaltungsrecht,</w:t>
      </w:r>
    </w:p>
    <w:p>
      <w:pPr>
        <w:ind w:left="420"/>
      </w:pPr>
      <w:r>
        <w:t xml:space="preserve">3. bürgerliches Recht,</w:t>
      </w:r>
    </w:p>
    <w:p>
      <w:pPr>
        <w:ind w:left="420"/>
      </w:pPr>
      <w:r>
        <w:t xml:space="preserve">4. Volkswirtschaftslehre,</w:t>
      </w:r>
    </w:p>
    <w:p>
      <w:pPr>
        <w:ind w:left="420"/>
      </w:pPr>
      <w:r>
        <w:t xml:space="preserve">5. Haushalts- und Kassenwesen,</w:t>
      </w:r>
    </w:p>
    <w:p>
      <w:pPr>
        <w:ind w:left="420"/>
      </w:pPr>
      <w:r>
        <w:t xml:space="preserve">6. Betriebswirtschaftslehre,</w:t>
      </w:r>
    </w:p>
    <w:p>
      <w:pPr>
        <w:ind w:left="420"/>
      </w:pPr>
      <w:r>
        <w:t xml:space="preserve">7. Beamtenrecht einschließlich Disziplinarrecht,</w:t>
      </w:r>
    </w:p>
    <w:p>
      <w:pPr>
        <w:ind w:left="420"/>
      </w:pPr>
      <w:r>
        <w:t xml:space="preserve">8. Besoldungs- und Versorgungsrecht,</w:t>
      </w:r>
    </w:p>
    <w:p>
      <w:pPr>
        <w:ind w:left="420"/>
      </w:pPr>
      <w:r>
        <w:t xml:space="preserve">9. Reise- und Umzugskostenrecht, Travel Management,</w:t>
      </w:r>
    </w:p>
    <w:p>
      <w:pPr>
        <w:ind w:left="420"/>
      </w:pPr>
      <w:r>
        <w:t xml:space="preserve">10. Arbeits- und Tarifrecht einschließlich des Personalvertretungsrechts, des Rechts der schwerbehinderten Menschen und des Gleichstellungsrechts,</w:t>
      </w:r>
    </w:p>
    <w:p>
      <w:pPr>
        <w:ind w:left="420"/>
      </w:pPr>
      <w:r>
        <w:t xml:space="preserve">11. Infrastruktur- und Facility-Management,</w:t>
      </w:r>
    </w:p>
    <w:p>
      <w:pPr>
        <w:ind w:left="420"/>
      </w:pPr>
      <w:r>
        <w:t xml:space="preserve">12. Wehrersatzrecht und Personalgewinnung,</w:t>
      </w:r>
    </w:p>
    <w:p>
      <w:pPr>
        <w:ind w:left="420"/>
      </w:pPr>
      <w:r>
        <w:t xml:space="preserve">13. Organisation,</w:t>
      </w:r>
    </w:p>
    <w:p>
      <w:pPr>
        <w:ind w:left="420"/>
      </w:pPr>
      <w:r>
        <w:t xml:space="preserve">14. Beschaffung,</w:t>
      </w:r>
    </w:p>
    <w:p>
      <w:pPr>
        <w:ind w:left="420"/>
      </w:pPr>
      <w:r>
        <w:t xml:space="preserve">15. Informationstechnik,</w:t>
      </w:r>
    </w:p>
    <w:p>
      <w:pPr>
        <w:ind w:left="420"/>
      </w:pPr>
      <w:r>
        <w:t xml:space="preserve">16. Kommunikation und Kooperation,</w:t>
      </w:r>
    </w:p>
    <w:p>
      <w:pPr>
        <w:ind w:left="420"/>
      </w:pPr>
      <w:r>
        <w:t xml:space="preserve">17. Psychologie und Soziologie sowie</w:t>
      </w:r>
    </w:p>
    <w:p>
      <w:pPr>
        <w:ind w:left="420"/>
      </w:pPr>
      <w:r>
        <w:t xml:space="preserve">18. Arbeits- und Lerntechniken.</w:t>
      </w:r>
    </w:p>
    <w:p>
      <w:r>
        <w:t xml:space="preserve">(2) Die Inhalte der Lehrgebiete werden interaktiv, praxisbezogen und kompetenzorientiert vermittelt. Die Vermittlung kann durch Informationstechnologie unterstützt werden.</w:t>
      </w:r>
    </w:p>
    <w:p>
      <w:r>
        <w:rPr>
          <w:color w:val="555555"/>
          <w:sz w:val="17"/>
        </w:rPr>
        <w:t xml:space="preserve">Zitiervorschlag: § 28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