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MntDBwVVDV — Rahmenlehrplan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die fachtheoretische Ausbildung erstellt das Bildungszentrum der Bundeswehr im Einvernehmen mit der Ausbildungsleitung einen Rahmenlehrplan. Der Rahmenlehrplan bedarf der Billigung durch das Bundesministerium der Verteidigung.</w:t>
      </w:r>
    </w:p>
    <w:p>
      <w:r>
        <w:t xml:space="preserve">(2) Im Rahmenlehrplan werden festgelegt:</w:t>
      </w:r>
    </w:p>
    <w:p>
      <w:pPr>
        <w:ind w:left="420"/>
      </w:pPr>
      <w:r>
        <w:t xml:space="preserve">1. die Regeldauer sowie der Aufbau und die allgemeinen Inhalte des Einführungslehrgangs und</w:t>
      </w:r>
    </w:p>
    <w:p>
      <w:pPr>
        <w:ind w:left="420"/>
      </w:pPr>
      <w:r>
        <w:t xml:space="preserve">2. die Regeldauer sowie der Aufbau und die allgemeinen Inhalte des Abschlusslehrgangs.</w:t>
      </w:r>
    </w:p>
    <w:p>
      <w:r>
        <w:rPr>
          <w:color w:val="555555"/>
          <w:sz w:val="17"/>
        </w:rPr>
        <w:t xml:space="preserve">Zitiervorschlag: § 25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