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MntDBwVVDV — Mündlicher Teil des Auswahlverfahrens</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Im mündlichen Teil des Auswahlverfahrens dürfen höchstens vier der folgenden Auswahlinstrumente eingesetzt werden:</w:t>
      </w:r>
    </w:p>
    <w:p>
      <w:pPr>
        <w:ind w:left="420"/>
      </w:pPr>
      <w:r>
        <w:t xml:space="preserve">1. halbstrukturiertes Interview,</w:t>
      </w:r>
    </w:p>
    <w:p>
      <w:pPr>
        <w:ind w:left="420"/>
      </w:pPr>
      <w:r>
        <w:t xml:space="preserve">2. Gruppenaufgaben,</w:t>
      </w:r>
    </w:p>
    <w:p>
      <w:pPr>
        <w:ind w:left="420"/>
      </w:pPr>
      <w:r>
        <w:t xml:space="preserve">3. Präsentation,</w:t>
      </w:r>
    </w:p>
    <w:p>
      <w:pPr>
        <w:ind w:left="420"/>
      </w:pPr>
      <w:r>
        <w:t xml:space="preserve">4. Gruppendiskussion und</w:t>
      </w:r>
    </w:p>
    <w:p>
      <w:pPr>
        <w:ind w:left="420"/>
      </w:pPr>
      <w:r>
        <w:t xml:space="preserve">5. Referat.</w:t>
      </w:r>
    </w:p>
    <w:p>
      <w:r>
        <w:t xml:space="preserve">(2) Der mündliche Teil des Auswahlverfahrens dauert in der Regel einen halben Arbeitstag.</w:t>
      </w:r>
    </w:p>
    <w:p>
      <w:r>
        <w:t xml:space="preserve">(3) Am mündlichen Teil des Auswahlverfahrens darf ein Mitglied des Personalrats teilnehmen.</w:t>
      </w:r>
    </w:p>
    <w:p>
      <w:r>
        <w:t xml:space="preserve">(4) Sofern schwerbehinderte Bewerberinnen und Bewerber oder gleichgestellte behinderte Bewerberinnen und Bewerber teilnehmen, darf auch die Schwerbehindertenvertretung am mündlichen Teil des Auswahlverfahrens und an den Beratungen teilnehmen. Dies gilt nicht, wenn die schwerbehinderten Bewerberinnen und Bewerber oder die gleichgestellten behinderten Bewerberinnen und Bewerber die Beteiligung der Schwerbehindertenvertretung ausdrücklich ablehnen.</w:t>
      </w:r>
    </w:p>
    <w:p>
      <w:r>
        <w:rPr>
          <w:color w:val="555555"/>
          <w:sz w:val="17"/>
        </w:rPr>
        <w:t xml:space="preserve">Zitiervorschlag: § 16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