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MntDAIVAPrV</w:t>
      </w:r>
    </w:p>
    <w:p>
      <w:r>
        <w:rPr>
          <w:color w:val="555555"/>
          <w:sz w:val="18"/>
        </w:rPr>
        <w:t xml:space="preserve">Verordnung über den Vorbereitungsdienst für den mittleren nichttechnischen Dienst in der allgemeinen und inneren Verwaltung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26 Absatz 1 Nummer 2 des Bundesbeamtengesetzes vom 5. Februar 2009 (BGBl. I S. 160) in Verbindung mit § 10 der Bundeslaufbahnverordnung vom 12. Februar 2009 (BGBl. I S. 284) verordnet das Bundesministerium des Innern:</w:t>
      </w:r>
    </w:p>
    <w:p>
      <w:r>
        <w:rPr>
          <w:color w:val="555555"/>
          <w:sz w:val="17"/>
        </w:rPr>
        <w:t xml:space="preserve">Zitiervorschlag: Eingangsformel MntDAIVAPrV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https://recht.nulegal.eu/gesetze/MntDAIVAPrV/eingangsformel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