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MntDAIVAPrV — Aufbau und Dauer der Ausbildung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Ausbildung gliedert sich in eng verzahnte fachtheoretische Abschnitte (Lehrgänge) und berufspraktische Abschnitte (Praktika). Bei der berufspraktischen Ausbildung wird das Bundesverwaltungsamt durch Behörden des Bundes und der Kommunen unterstützt.</w:t>
      </w:r>
    </w:p>
    <w:p>
      <w:r>
        <w:t xml:space="preserve">(2) Für einzelne oder alle Lehrveranstaltungen können digitale Lehrformate genutzt werden.</w:t>
      </w:r>
    </w:p>
    <w:p>
      <w:r>
        <w:t xml:space="preserve">(3) Die Ausbildung gliedert sich in folgende Abschnitte:</w:t>
      </w:r>
    </w:p>
    <w:p>
      <w:r>
        <w:rPr>
          <w:rFonts w:ascii="Courier New" w:hAnsi="Courier New"/>
          <w:sz w:val="17"/>
        </w:rPr>
        <w:t xml:space="preserve">    Ausbildungsabschnitt    Behörde    Dauer</w:t>
      </w:r>
    </w:p>
    <w:p>
      <w:r>
        <w:rPr>
          <w:rFonts w:ascii="Courier New" w:hAnsi="Courier New"/>
          <w:sz w:val="17"/>
        </w:rPr>
        <w:t xml:space="preserve">1    Einführungslehrgang    Bundesverwaltungsamt    2 Monate</w:t>
      </w:r>
    </w:p>
    <w:p>
      <w:r>
        <w:rPr>
          <w:rFonts w:ascii="Courier New" w:hAnsi="Courier New"/>
          <w:sz w:val="17"/>
        </w:rPr>
        <w:t xml:space="preserve">2    Praktikum I    Bundesbehörde    5 Monate</w:t>
      </w:r>
    </w:p>
    <w:p>
      <w:r>
        <w:rPr>
          <w:rFonts w:ascii="Courier New" w:hAnsi="Courier New"/>
          <w:sz w:val="17"/>
        </w:rPr>
        <w:t xml:space="preserve">3    Zwischenlehrgang    Bundesverwaltungsamt    3 Monate</w:t>
      </w:r>
    </w:p>
    <w:p>
      <w:r>
        <w:rPr>
          <w:rFonts w:ascii="Courier New" w:hAnsi="Courier New"/>
          <w:sz w:val="17"/>
        </w:rPr>
        <w:t xml:space="preserve">4    Praktikum II    Kommunalbehörde    3 Monate</w:t>
      </w:r>
    </w:p>
    <w:p>
      <w:r>
        <w:rPr>
          <w:rFonts w:ascii="Courier New" w:hAnsi="Courier New"/>
          <w:sz w:val="17"/>
        </w:rPr>
        <w:t xml:space="preserve">5    Praktikum III    Bundesbehörde    6 Monate</w:t>
      </w:r>
    </w:p>
    <w:p>
      <w:r>
        <w:rPr>
          <w:rFonts w:ascii="Courier New" w:hAnsi="Courier New"/>
          <w:sz w:val="17"/>
        </w:rPr>
        <w:t xml:space="preserve">6    Abschlusslehrgang    Bundesverwaltungsamt    5 Monate</w:t>
      </w:r>
    </w:p>
    <w:p>
      <w:r>
        <w:t xml:space="preserve">(4) Das Bundesverwaltungsamt kann festlegen, dass das Praktikum II – abweichend von Absatz 2 – in einer Bundesbehörde absolviert wird.</w:t>
      </w:r>
    </w:p>
    <w:p>
      <w:r>
        <w:rPr>
          <w:color w:val="555555"/>
          <w:sz w:val="17"/>
        </w:rPr>
        <w:t xml:space="preserve">Zitiervorschlag: § 7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