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MntDAIVAPrV — Prüfungsakten, Einsichtnahme</w:t>
      </w:r>
    </w:p>
    <w:p>
      <w:r>
        <w:rPr>
          <w:color w:val="555555"/>
          <w:sz w:val="18"/>
        </w:rPr>
        <w:t xml:space="preserve">Verordnung über den Vorbereitungsdienst für den mittleren nichttechnischen Dienst in der allgemeinen und inneren 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 den Prüfungsakten zu nehmen sind:</w:t>
      </w:r>
    </w:p>
    <w:p>
      <w:pPr>
        <w:ind w:left="420"/>
      </w:pPr>
      <w:r>
        <w:t xml:space="preserve">1. eine Ausfertigung des Zeugnisses über die Zwischenprüfung oder des Bescheids über die nicht bestandene Zwischenprüfung (§ 17),</w:t>
      </w:r>
    </w:p>
    <w:p>
      <w:pPr>
        <w:ind w:left="420"/>
      </w:pPr>
      <w:r>
        <w:t xml:space="preserve">2. eine Ausfertigung des zusammenfassenden Zeugnisses (§ 13),</w:t>
      </w:r>
    </w:p>
    <w:p>
      <w:pPr>
        <w:ind w:left="420"/>
      </w:pPr>
      <w:r>
        <w:t xml:space="preserve">3. die Anlage zur Niederschrift der Laufbahnprüfung und</w:t>
      </w:r>
    </w:p>
    <w:p>
      <w:pPr>
        <w:ind w:left="420"/>
      </w:pPr>
      <w:r>
        <w:t xml:space="preserve">4. eine Ausfertigung des Abschlusszeugnisses oder des Bescheids über die nicht bestandene Laufbahnprüfung (§ 24).</w:t>
      </w:r>
    </w:p>
    <w:p>
      <w:r>
        <w:t xml:space="preserve">Die Prüfungsakten werden nach Beendigung des Vorbereitungsdienstes beim Bundesverwaltungsamt mindestens fünf Jahre aufbewahrt. Sie sind spätestens zehn Jahre nach Beendigung des Vorbereitungsdienstes zu vernichten.</w:t>
      </w:r>
    </w:p>
    <w:p>
      <w:r>
        <w:t xml:space="preserve">(2) Nach Zustellung des Zwischenprüfungs- oder Abschlusszeugnisses können die Betroffenen Einsicht in die sie betreffenden Prüfungsakten nehmen. Satz 1 gilt entsprechend, wenn die Zwischen- oder Laufbahnprüfung nicht bestanden wurde oder wenn keine Übernahme in das Beamtenverhältnis erfolgt ist.</w:t>
      </w:r>
    </w:p>
    <w:p>
      <w:r>
        <w:rPr>
          <w:color w:val="555555"/>
          <w:sz w:val="17"/>
        </w:rPr>
        <w:t xml:space="preserve">Zitiervorschlag: § 25 MntDAIVAPrV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https://recht.nulegal.eu/gesetze/MntDAIVAPrV/25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