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MntDAIVAPrV — Schriftliche Abschlussprüfung</w:t>
      </w:r>
    </w:p>
    <w:p>
      <w:r>
        <w:rPr>
          <w:color w:val="555555"/>
          <w:sz w:val="18"/>
        </w:rPr>
        <w:t xml:space="preserve">Verordnung über den Vorbereitungsdienst für den mittleren nichttechnischen Dienst in der allgemeinen und inneren Verwaltung des Bundes</w:t>
      </w:r>
    </w:p>
    <w:p>
      <w:r>
        <w:rPr>
          <w:color w:val="555555"/>
          <w:sz w:val="18"/>
        </w:rPr>
        <w:t xml:space="preserve">Stand: 24.08.2021 (konsolidierte Textfassung, kein amtliches Inkrafttretensdatum)</w:t>
      </w:r>
    </w:p>
    <w:p>
      <w:r>
        <w:t xml:space="preserve">(1) Zur schriftlichen Abschlussprüfung wird zugelassen, wer die Zwischenprüfung bestanden und die Ausbildungsabschnitte durchlaufen hat.</w:t>
      </w:r>
    </w:p>
    <w:p>
      <w:r>
        <w:t xml:space="preserve">(2) Die schriftliche Abschlussprüfung besteht aus fünf Klausuren. Die Aufgaben werden aus den Fachgebieten nach § 8 Absatz 2 ausgewählt.</w:t>
      </w:r>
    </w:p>
    <w:p>
      <w:r>
        <w:t xml:space="preserve">(2a) Die Klausuren können mit Unterstützung durch Informationstechnik durchgeführt werden.</w:t>
      </w:r>
    </w:p>
    <w:p>
      <w:r>
        <w:t xml:space="preserve">(3) Die Bearbeitungszeit für jede Klausur beträgt 240 Minuten. Die Klausuren werden an aufeinanderfolgenden Arbeitstagen geschrieben. Nach zwei Tagen wird ein freier Tag vorgesehen. Je Tag wird nur eine Klausur geschrieben.</w:t>
      </w:r>
    </w:p>
    <w:p>
      <w:r>
        <w:t xml:space="preserve">(4) Hat eine Anwärterin oder ein Anwärter die Klausur nicht oder nicht rechtzeitig abgegeben, gilt diese als mit null Rangpunkten bewertet.</w:t>
      </w:r>
    </w:p>
    <w:p>
      <w:r>
        <w:t xml:space="preserve">(5) § 17 Absatz 4 und 5 gilt entsprechend.</w:t>
      </w:r>
    </w:p>
    <w:p>
      <w:r>
        <w:rPr>
          <w:color w:val="555555"/>
          <w:sz w:val="17"/>
        </w:rPr>
        <w:t xml:space="preserve">Zitiervorschlag: § 18 MntDAIVAPrV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https://recht.nulegal.eu/gesetze/MntDAIVAPrV/18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