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MntDAIVAPrV — Inhalt der berufspraktischen Ausbildung</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24.08.2021 (konsolidierte Textfassung, kein amtliches Inkrafttretensdatum)</w:t>
      </w:r>
    </w:p>
    <w:p>
      <w:r>
        <w:t xml:space="preserve">(1) Während des Praktikums I werden die Anwärterinnen und Anwärter vertraut gemacht mit</w:t>
      </w:r>
    </w:p>
    <w:p>
      <w:pPr>
        <w:ind w:left="420"/>
      </w:pPr>
      <w:r>
        <w:t xml:space="preserve">1. adressatenorientiertem Verwaltungshandeln und</w:t>
      </w:r>
    </w:p>
    <w:p>
      <w:pPr>
        <w:ind w:left="420"/>
      </w:pPr>
      <w:r>
        <w:t xml:space="preserve">2. den Aufgaben der inneren Verwaltung des Bundes, die den Fachgebieten nach § 8 Absatz 2 Nummer 4 bis 8 zugeordnet werden können.</w:t>
      </w:r>
    </w:p>
    <w:p>
      <w:r>
        <w:t xml:space="preserve">(2) Während des Praktikums II erhalten die Anwärterinnen und Anwärter einen Überblick über die Verwaltungsaufgaben der Kommunalbehörde und werden mit den Besonderheiten bürgernaher Verwaltung vertraut gemacht.</w:t>
      </w:r>
    </w:p>
    <w:p>
      <w:r>
        <w:t xml:space="preserve">(2a) Ist festgelegt worden, dass das Praktikum II in einer Bundesbehörde absolviert wird, so sind die Anwärterinnen und Anwärter auch im Praktikum II mit den in Absatz 1 genannten Inhalten vertraut zu machen.</w:t>
      </w:r>
    </w:p>
    <w:p>
      <w:r>
        <w:t xml:space="preserve">(3) Während des Praktikums III werden die Anwärterinnen und Anwärter mit Fachaufgaben der Bundesverwaltung vertraut gemacht. Ihnen wird ein Überblick über Aufgaben und Arbeitsweise der Bundesbehörden sowie über ihr Zusammenwirken mit anderen Behörden vermittelt.</w:t>
      </w:r>
    </w:p>
    <w:p>
      <w:r>
        <w:t xml:space="preserve">(4) Anwärterinnen und Anwärter, die bereits für eine bestimmte Verwendung in der Bundesverwaltung vorgesehen sind, können während des Praktikums III fachbezogen ausgebildet werden.</w:t>
      </w:r>
    </w:p>
    <w:p>
      <w:r>
        <w:rPr>
          <w:color w:val="555555"/>
          <w:sz w:val="17"/>
        </w:rPr>
        <w:t xml:space="preserve">Zitiervorschlag: § 11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