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MittelweserG</w:t>
      </w:r>
    </w:p>
    <w:p>
      <w:r>
        <w:rPr>
          <w:color w:val="555555"/>
          <w:sz w:val="18"/>
        </w:rPr>
        <w:t xml:space="preserve">Gesetz über den Grunderwerb für die Kanalisierung der Mittelweser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findet auch auf die zur Zeit des Inkrafttretens eingeleiteten Enteignungen Anwendung.</w:t>
      </w:r>
    </w:p>
    <w:p>
      <w:r>
        <w:rPr>
          <w:color w:val="555555"/>
          <w:sz w:val="17"/>
        </w:rPr>
        <w:t xml:space="preserve">Zitiervorschlag: § 17 MittelweserG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https://recht.nulegal.eu/gesetze/MittelweserG/17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