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MittelVertVO (Nordrhein-Westfalen) — Inkrafttreten</w:t>
      </w:r>
    </w:p>
    <w:p>
      <w:r>
        <w:rPr>
          <w:color w:val="555555"/>
          <w:sz w:val="18"/>
        </w:rPr>
        <w:t xml:space="preserve">KiBiz-Mittelverteilungsverordnung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 für Kinder, Jugend, Familie,</w:t>
      </w:r>
    </w:p>
    <w:p>
      <w:r>
        <w:t xml:space="preserve">Gleichstellung, Flucht und Integration</w:t>
      </w:r>
    </w:p>
    <w:p>
      <w:r>
        <w:t xml:space="preserve">des Landes Nordrhein-Westfalen</w:t>
      </w:r>
    </w:p>
    <w:p>
      <w:r>
        <w:t xml:space="preserve">Der Minister der Finanzen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MittelVertVO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https://recht.nulegal.eu/gesetze/MittelVertVO/3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