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MittelVertVO 2026 (Nordrhein-Westfalen) — Flexibilisierung der Betreuungszeiten</w:t>
      </w:r>
    </w:p>
    <w:p>
      <w:r>
        <w:rPr>
          <w:color w:val="555555"/>
          <w:sz w:val="18"/>
        </w:rPr>
        <w:t xml:space="preserve">KiBiz-Mittelverteilungsverordnung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Anteil des Jugendamtes am Landeszuschuss zur Flexibilisierung der Betreuungszeiten gemäß § 48 Absatz 1 des Kinderbildungsgesetzes entspricht in den Kindergartenjahren 2026/2027 und 2027/2028 dem Anteil, der auf der Grundlage des § 48 Absatz 2 Satz 2 des Kinderbildungsgesetzes für die Kindergartenjahre 2020/2021 bis 2024/2025 berechnet wurde.</w:t>
      </w:r>
    </w:p>
    <w:p>
      <w:r>
        <w:rPr>
          <w:color w:val="555555"/>
          <w:sz w:val="17"/>
        </w:rPr>
        <w:t xml:space="preserve">Zitiervorschlag: § 2 MittelVertVO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https://recht.nulegal.eu/gesetze/MittelVertVO%202026/2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