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MitbestGWO 3 2002 — Stimmabgabe, Wahlvorgang</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Sind in einem Wahlgang mehrere Aufsichtsratsmitglieder der Arbeitnehmer zu wählen und liegt für diesen Wahlgang nur ein gültiger Wahlvorschlag vor, so kann der Delegierte seine Stimme nur für die in dem Wahlvorschlag aufgeführten Bewerberinnen und Bewerber abgeben. Eine gesonderte Stimmabgabe für ein Ersatzmitglied des Aufsichtsrats ist nicht zulässig. Die Stimmabgabe erfolgt durch Abgabe von Stimmzetteln. Hat ein Delegierter mehrere Stimmen, so gibt er für jede Stimme einen Stimmzettel ab.</w:t>
      </w:r>
    </w:p>
    <w:p>
      <w:r>
        <w:t xml:space="preserve">(2) Der Hauptwahlvorstand hat die Bewerberinnen und Bewerber auf den Stimmzetteln unter Angabe von Familienname, Vorname, Art der Beschäftigung, Unternehmen und Betrieb untereinander in der Reihenfolge aufzuführen, in der sie in dem Wahlvorschlag benannt sind. Das für eine Bewerberin oder für einen Bewerber vorgeschlagene Ersatzmitglied ist auf dem Stimmzettel neben der Bewerberin oder dem Bewerber aufzuführen; Satz 1 ist entsprechend anzuwenden. Die Stimmzettel sollen die Angabe enthalten, wie viele Bewerberinnen und Bewerber der Delegierte ankreuzen kann. § 78 Abs. 2 Satz 3 ist anzuwenden.</w:t>
      </w:r>
    </w:p>
    <w:p>
      <w:r>
        <w:t xml:space="preserve">(3) Der Delegierte kennzeichnet die von ihm Gewählten durch Ankreuzen an den im Stimmzettel hierfür vorgesehenen Stellen. Er darf nicht mehr Bewerberinnen und Bewerber ankreuzen, als Aufsichtsratsmitglieder in dem Wahlgang zu wählen sind. § 78 Abs. 3 Satz 2 ist entsprechend anzuwenden.</w:t>
      </w:r>
    </w:p>
    <w:p>
      <w:r>
        <w:t xml:space="preserve">(4) Ungültig sind Stimmzettel,</w:t>
      </w:r>
    </w:p>
    <w:p>
      <w:pPr>
        <w:ind w:left="420"/>
      </w:pPr>
      <w:r>
        <w:t xml:space="preserve">1. in denen mehr Bewerberinnen und Bewerber angekreuzt sind, als in dem Wahlgang Aufsichtsratsmitglieder zu wählen sind,</w:t>
      </w:r>
    </w:p>
    <w:p>
      <w:pPr>
        <w:ind w:left="420"/>
      </w:pPr>
      <w:r>
        <w:t xml:space="preserve">2. aus denen sich ein eindeutiger Wille nicht ergibt,</w:t>
      </w:r>
    </w:p>
    <w:p>
      <w:pPr>
        <w:ind w:left="420"/>
      </w:pPr>
      <w:r>
        <w:t xml:space="preserve">3. die mit einem besonderen Merkmal versehen sind,</w:t>
      </w:r>
    </w:p>
    <w:p>
      <w:pPr>
        <w:ind w:left="420"/>
      </w:pPr>
      <w:r>
        <w:t xml:space="preserve">4. die andere als die in Absatz 2 bezeichneten Angaben, einen Zusatz oder sonstige Änderungen enthalten.</w:t>
      </w:r>
    </w:p>
    <w:p>
      <w:r>
        <w:t xml:space="preserve">(5) § 78 Abs. 5 findet Anwendung.</w:t>
      </w:r>
    </w:p>
    <w:p>
      <w:r>
        <w:rPr>
          <w:color w:val="555555"/>
          <w:sz w:val="17"/>
        </w:rPr>
        <w:t xml:space="preserve">Zitiervorschlag: § 81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