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MitbestGWO 3 2002 — Wahlausschreiben</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Steht fest, dass die Aufsichtsratsmitglieder der Arbeitnehmer in unmittelbarer Wahl zu wählen sind, so erlässt der Hauptwahlvorstand ein Wahlausschreiben. Es muss folgende Angaben enthalten:</w:t>
      </w:r>
    </w:p>
    <w:p>
      <w:pPr>
        <w:ind w:left="420"/>
      </w:pPr>
      <w:r>
        <w:t xml:space="preserve">1. den für die Bekanntmachung bestimmten Zeitpunkt;</w:t>
      </w:r>
    </w:p>
    <w:p>
      <w:pPr>
        <w:ind w:left="420"/>
      </w:pPr>
      <w:r>
        <w:t xml:space="preserve">2. dass die Aufsichtsratsmitglieder der Arbeitnehmer von allen Wahlberechtigten in unmittelbarer Wahl zu wählen sind;</w:t>
      </w:r>
    </w:p>
    <w:p>
      <w:pPr>
        <w:ind w:left="420"/>
      </w:pPr>
      <w:r>
        <w:t xml:space="preserve">3. dass an der Wahl und an Abstimmungen nur Arbeitnehmerinnen und Arbeitnehmer teilnehmen können, die in der Wählerliste eingetragen sind;</w:t>
      </w:r>
    </w:p>
    <w:p>
      <w:pPr>
        <w:ind w:left="420"/>
      </w:pPr>
      <w:r>
        <w:t xml:space="preserve">4. den Zeitpunkt, bis zu dem Wahlvorschläge eingereicht werden können;</w:t>
      </w:r>
    </w:p>
    <w:p>
      <w:pPr>
        <w:ind w:left="420"/>
      </w:pPr>
      <w:r>
        <w:t xml:space="preserve">5. dass die Stimmabgabe an Wahlvorschläge gebunden ist und dass nur solche Wahlvorschläge berücksichtigt werden dürfen, die fristgerecht eingereicht sind;</w:t>
      </w:r>
    </w:p>
    <w:p>
      <w:pPr>
        <w:ind w:left="420"/>
      </w:pPr>
      <w:r>
        <w:t xml:space="preserve">6. den Tag oder die Tage der Stimmabgabe für die Wahl der Aufsichtsratsmitglieder der Arbeitnehmer;</w:t>
      </w:r>
    </w:p>
    <w:p>
      <w:pPr>
        <w:ind w:left="420"/>
      </w:pPr>
      <w:r>
        <w:t xml:space="preserve">7. bei börsennotierten Unternehmen, ob zur Erreichung des Geschlechteranteils nach § 96 Absatz 2 Satz 1 des Aktiengesetzes für die Wahl die Gesamterfüllung oder die Getrennterfüllung gilt;</w:t>
      </w:r>
    </w:p>
    <w:p>
      <w:pPr>
        <w:ind w:left="420"/>
      </w:pPr>
      <w:r>
        <w:t xml:space="preserve">8. bei börsennotierten Unternehmen im Fall der Gesamterfüllung, die zur Erreichung des Geschlechteranteils nach § 96 Absatz 2 Satz 1 und 4 des Aktiengesetzes erforderliche Anzahl an Frauen und Männern im Aufsichtsrat;</w:t>
      </w:r>
    </w:p>
    <w:p>
      <w:pPr>
        <w:ind w:left="420"/>
      </w:pPr>
      <w:r>
        <w:t xml:space="preserve">9. bei börsennotierten Unternehmen im Fall der Getrennterfüllung, die zur Erreichung des Geschlechteranteils nach § 7 Absatz 3 des Gesetzes in Verbindung mit § 96 Absatz 2 Satz 4 des Aktiengesetzes erforderliche Anzahl an Frauen und Männern unter den Aufsichtsratsmitgliedern der Arbeitnehmer;</w:t>
      </w:r>
    </w:p>
    <w:p>
      <w:pPr>
        <w:ind w:left="420"/>
      </w:pPr>
      <w:r>
        <w:t xml:space="preserve">10. im Fall der Nummer 9, wenn der Geschlechteranteil nach § 7 Absatz 3 des Gesetzes bei der Wahl nicht erreicht wurde, dass § 18a des Gesetzes anzuwenden ist und der Geschlechteranteil im Wege der gerichtlichen Ersatzbestellung nach § 104 des Aktiengesetzes oder der Nachwahl hergestellt wird;</w:t>
      </w:r>
    </w:p>
    <w:p>
      <w:pPr>
        <w:ind w:left="420"/>
      </w:pPr>
      <w:r>
        <w:t xml:space="preserve">11. die Anschrift des Hauptwahlvorstands.</w:t>
      </w:r>
    </w:p>
    <w:p>
      <w:r>
        <w:t xml:space="preserve">(2) Der Hauptwahlvorstand übersendet das Wahlausschreiben den Betriebswahlvorständen und teilt ihnen schriftlich den Zeitpunkt mit, von dem ab es in den Betrieben bekannt zu machen ist. Jeder Betriebswahlvorstand ergänzt das Wahlausschreiben um die folgenden Angaben:</w:t>
      </w:r>
    </w:p>
    <w:p>
      <w:pPr>
        <w:ind w:left="420"/>
      </w:pPr>
      <w:r>
        <w:t xml:space="preserve">1. wo und wie die Wahlberechtigten von den Wahlvorschlägen Kenntnis erlangen können;</w:t>
      </w:r>
    </w:p>
    <w:p>
      <w:pPr>
        <w:ind w:left="420"/>
      </w:pPr>
      <w:r>
        <w:t xml:space="preserve">2. Ort und Zeit der Stimmabgabe und der öffentlichen Stimmauszählung;</w:t>
      </w:r>
    </w:p>
    <w:p>
      <w:pPr>
        <w:ind w:left="420"/>
      </w:pPr>
      <w:r>
        <w:t xml:space="preserve">3. den Hinweis auf die Möglichkeit der schriftlichen Stimmabgabe sowie die Betriebsteile, Kleinstbetriebe und Betriebe, für die schriftliche Stimmabgabe nach § 49 Abs. 3 beschlossen ist;</w:t>
      </w:r>
    </w:p>
    <w:p>
      <w:pPr>
        <w:ind w:left="420"/>
      </w:pPr>
      <w:r>
        <w:t xml:space="preserve">4. dass Einsprüche und sonstige Erklärungen gegenüber dem Betriebswahlvorstand abzugeben sind;</w:t>
      </w:r>
    </w:p>
    <w:p>
      <w:pPr>
        <w:ind w:left="420"/>
      </w:pPr>
      <w:r>
        <w:t xml:space="preserve">5. die Anschrift des Betriebswahlvorstands.</w:t>
      </w:r>
    </w:p>
    <w:p>
      <w:r>
        <w:t xml:space="preserve">Für die Bekanntmachung des Wahlausschreibens ist § 26 Abs. 4 und 5 entsprechend anzuwenden.</w:t>
      </w:r>
    </w:p>
    <w:p>
      <w:r>
        <w:rPr>
          <w:color w:val="555555"/>
          <w:sz w:val="17"/>
        </w:rPr>
        <w:t xml:space="preserve">Zitiervorschlag: § 39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