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MitbestGWO 3 2002 — Prüfung der Wahlvorschläge</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Der Hauptwahlvorstand bestätigt dem Vorschlagsvertreter schriftlich den Zeitpunkt der Einreichung des Wahlvorschlags.</w:t>
      </w:r>
    </w:p>
    <w:p>
      <w:r>
        <w:t xml:space="preserve">(2) Der Hauptwahlvorstand bezeichnet den Wahlvorschlag, wenn er nicht mit einem Kennwort versehen ist, mit Familienname und Vorname der an erster Stelle benannten Bewerberin oder des an erster Stelle benannten Bewerbers. Er hat unverzüglich den Wahlvorschlag zu prüfen und bei Ungültigkeit oder Beanstandung den Vorschlagsvertreter schriftlich unter Angabe der Gründe zu unterrichten.</w:t>
      </w:r>
    </w:p>
    <w:p>
      <w:r>
        <w:rPr>
          <w:color w:val="555555"/>
          <w:sz w:val="17"/>
        </w:rPr>
        <w:t xml:space="preserve">Zitiervorschlag: § 34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