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113a MitbestGWO 3 2002 — Geschlechteranteil in nicht börsennotierten Unternehmen</w:t>
      </w:r>
    </w:p>
    <w:p>
      <w:r>
        <w:rPr>
          <w:color w:val="555555"/>
          <w:sz w:val="18"/>
        </w:rPr>
        <w:t xml:space="preserve">Dritte Wahlordnung zum Mitbestimmungsgesetz</w:t>
      </w:r>
    </w:p>
    <w:p>
      <w:r>
        <w:rPr>
          <w:color w:val="555555"/>
          <w:sz w:val="18"/>
        </w:rPr>
        <w:t xml:space="preserve">Stand: 12.08.2021 (konsolidierte Textfassung, kein amtliches Inkrafttretensdatum)</w:t>
      </w:r>
    </w:p>
    <w:p>
      <w:r>
        <w:t xml:space="preserve">Für nicht börsennotierte Unternehmen mit Mehrheitsbeteiligung des Bundes im Sinne des § 393a Absatz 1 des Aktiengesetzes oder des § 77a Absatz 1 des Gesetzes betreffend die Gesellschaften mit beschränkter Haftung gelten die Regelungen dieser Wahlordnung zum Geschlechteranteil bei börsennotierten Unternehmen entsprechend.</w:t>
      </w:r>
    </w:p>
    <w:p>
      <w:r>
        <w:rPr>
          <w:color w:val="555555"/>
          <w:sz w:val="17"/>
        </w:rPr>
        <w:t xml:space="preserve">Zitiervorschlag: § 113a MitbestGWO 3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https://recht.nulegal.eu/gesetze/MitbestGWO%203%202002/113a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113a MitbestGWO 3 2002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