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50a MitbestGWO 2 2002 — Ermittlung der Gewählten bei nicht börsennotierten Unternehmen</w:t>
      </w:r>
    </w:p>
    <w:p>
      <w:r>
        <w:rPr>
          <w:color w:val="555555"/>
          <w:sz w:val="18"/>
        </w:rPr>
        <w:t xml:space="preserve">Zweite Wahlordnung zum 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nicht börsennotierten Unternehmen sind in einem Wahlgang nach § 40, einem Wahlgang nach § 44 und in einem Wahlgang nach § 48 so viele Bewerberinnen und Bewerber gewählt, wie Aufsichtsratsmitglieder in dem jeweiligen Wahlgang zu wählen sind.</w:t>
      </w:r>
    </w:p>
    <w:p>
      <w:r>
        <w:t xml:space="preserve">(2) Mit der Wahl einer Bewerberin oder eines Bewerbers ist auch das in dem Wahlvorschlag neben der oder dem Gewählten aufgeführte Ersatzmitglied des Aufsichtsrats gewählt.</w:t>
      </w:r>
    </w:p>
    <w:p>
      <w:r>
        <w:rPr>
          <w:color w:val="555555"/>
          <w:sz w:val="17"/>
        </w:rPr>
        <w:t xml:space="preserve">Zitiervorschlag: § 50a MitbestGWO 2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https://recht.nulegal.eu/gesetze/MitbestGWO%202%202002/50a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50a MitbestGWO 2 2002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