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MitbestGWO 2 2002 — Öffentliche Stimmauszählung</w:t>
      </w:r>
    </w:p>
    <w:p>
      <w:r>
        <w:rPr>
          <w:color w:val="555555"/>
          <w:sz w:val="18"/>
        </w:rPr>
        <w:t xml:space="preserve">Zweite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Unverzüglich nach Abschluss der Stimmabgabe zählt der Betriebswahlvorstand öffentlich die Stimmen aus.</w:t>
      </w:r>
    </w:p>
    <w:p>
      <w:r>
        <w:t xml:space="preserve">(2) Nach Öffnung der Wahlurne entnimmt der Betriebswahlvorstand die Stimmzettel und zählt für jeden Wahlgang gesondert die auf jede Bewerberin oder jeden Bewerber entfallenden Stimmen zusammen. § 41 Abs. 3 ist anzuwenden. Ist auf einem Stimmzettel eine Bewerberin oder ein Bewerber mehrfach angekreuzt, so zählt dies als eine Stimme.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45 MitbestGWO 2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https://recht.nulegal.eu/gesetze/MitbestGWO%202%202002/45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