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MitbestGWO 2 2002 — Anzuwendende Vorschriften</w:t>
      </w:r>
    </w:p>
    <w:p>
      <w:r>
        <w:rPr>
          <w:color w:val="555555"/>
          <w:sz w:val="18"/>
        </w:rPr>
        <w:t xml:space="preserve">Zweite Wahlordnung zum 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die Aufsichtsratsmitglieder der Arbeitnehmer in unmittelbarer Wahl zu wählen, so richtet sich das weitere Wahlverfahren nach den Vorschriften des Kapitels 2.</w:t>
      </w:r>
    </w:p>
    <w:p>
      <w:r>
        <w:t xml:space="preserve">(2) Sind die Aufsichtsratsmitglieder der Arbeitnehmer durch Delegierte zu wählen, so richtet sich das weitere Wahlverfahren nach den Vorschriften des Kapitels 3.</w:t>
      </w:r>
    </w:p>
    <w:p>
      <w:r>
        <w:rPr>
          <w:color w:val="555555"/>
          <w:sz w:val="17"/>
        </w:rPr>
        <w:t xml:space="preserve">Zitiervorschlag: § 38 MitbestGWO 2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https://recht.nulegal.eu/gesetze/MitbestGWO%202%202002/38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