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MitbestGWO 2 2002 — Öffentliche Stimmauszählung</w:t>
      </w:r>
    </w:p>
    <w:p>
      <w:r>
        <w:rPr>
          <w:color w:val="555555"/>
          <w:sz w:val="18"/>
        </w:rPr>
        <w:t xml:space="preserve">Zweite Wahlordnung zum Mitbestimmungsgesetz</w:t>
      </w:r>
    </w:p>
    <w:p>
      <w:r>
        <w:rPr>
          <w:color w:val="555555"/>
          <w:sz w:val="18"/>
        </w:rPr>
        <w:t xml:space="preserve">Stand: 10.06.2019 (konsolidierte Textfassung, kein amtliches Inkrafttretensdatum)</w:t>
      </w:r>
    </w:p>
    <w:p>
      <w:r>
        <w:t xml:space="preserve">(1) Unverzüglich nach Abschluss der Stimmabgabe zählt der Betriebswahlvorstand öffentlich die Stimmen aus.</w:t>
      </w:r>
    </w:p>
    <w:p>
      <w:r>
        <w:t xml:space="preserve">(2) Nach Öffnung der Wahlurne entnimmt der Betriebswahlvorstand die Stimmzettel und stellt fest, wie viele Stimmen für und wie viele Stimmen gegen den Antrag abgegeben worden sind.</w:t>
      </w:r>
    </w:p>
    <w:p>
      <w:r>
        <w:t xml:space="preserve">(3) Bei der Auszählung ist die Gültigkeit der Stimmzettel zu prüfen. Befindet sich ein Wahlumschlag mit mehreren gekennzeichneten Stimmzetteln in der Wahlurne, werden die Stimmzettel einfach gezählt, wenn sie vollständig übereinstimmen, andernfalls sind sie ungültig.</w:t>
      </w:r>
    </w:p>
    <w:p>
      <w:r>
        <w:t xml:space="preserve">(4) (weggefallen)</w:t>
      </w:r>
    </w:p>
    <w:p>
      <w:r>
        <w:rPr>
          <w:color w:val="555555"/>
          <w:sz w:val="17"/>
        </w:rPr>
        <w:t xml:space="preserve">Zitiervorschlag: § 21 MitbestGWO 2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https://recht.nulegal.eu/gesetze/MitbestGWO%202%202002/21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