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MitbestGWO 1 2002 — Abstimmung, Abstimmungsergebnis, Akten</w:t>
      </w:r>
    </w:p>
    <w:p>
      <w:r>
        <w:rPr>
          <w:color w:val="555555"/>
          <w:sz w:val="18"/>
        </w:rPr>
        <w:t xml:space="preserve">Erste Wahlordnung zum 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Abstimmung sind die §§ 16 bis 21 anzuwenden.</w:t>
      </w:r>
    </w:p>
    <w:p>
      <w:r>
        <w:t xml:space="preserve">(2) Der Betriebswahlvorstand übermittelt das Abstimmungsergebnis schriftlich</w:t>
      </w:r>
    </w:p>
    <w:p>
      <w:pPr>
        <w:ind w:left="420"/>
      </w:pPr>
      <w:r>
        <w:t xml:space="preserve">1. dem Aufsichtsratsmitglied, über dessen Abberufung abgestimmt worden ist,</w:t>
      </w:r>
    </w:p>
    <w:p>
      <w:pPr>
        <w:ind w:left="420"/>
      </w:pPr>
      <w:r>
        <w:t xml:space="preserve">2. der Gewerkschaft, die einen Antrag auf Abberufung gestellt hat (§ 23 Abs. 1 Satz 2 Nr. 3 des Gesetzes),</w:t>
      </w:r>
    </w:p>
    <w:p>
      <w:pPr>
        <w:ind w:left="420"/>
      </w:pPr>
      <w:r>
        <w:t xml:space="preserve">3. dem Unternehmen</w:t>
      </w:r>
    </w:p>
    <w:p>
      <w:r>
        <w:t xml:space="preserve">und macht es für die Dauer von zwei Wochen in gleicher Weise wie das Abberufungsausschreiben bekannt.</w:t>
      </w:r>
    </w:p>
    <w:p>
      <w:r>
        <w:t xml:space="preserve">(3) Auf die im Zusammenhang mit einem Antrag auf Abberufung entstandenen Akten ist § 49 entsprechend anzuwenden.</w:t>
      </w:r>
    </w:p>
    <w:p>
      <w:r>
        <w:rPr>
          <w:color w:val="555555"/>
          <w:sz w:val="17"/>
        </w:rPr>
        <w:t xml:space="preserve">Zitiervorschlag: § 87 MitbestGWO 1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https://recht.nulegal.eu/gesetze/MitbestGWO%201%202002/87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