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MitbestGWO 1 2002 — Mitteilungspflicht</w:t>
      </w:r>
    </w:p>
    <w:p>
      <w:r>
        <w:rPr>
          <w:color w:val="555555"/>
          <w:sz w:val="18"/>
        </w:rPr>
        <w:t xml:space="preserve">Erste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Betriebswahlvorstand teilt unverzüglich nach seiner Bildung dem Unternehmen und den im Unternehmen vertretenen Gewerkschaften schriftlich die Namen seiner Mitglieder und seine Anschrift mit.</w:t>
      </w:r>
    </w:p>
    <w:p>
      <w:r>
        <w:rPr>
          <w:color w:val="555555"/>
          <w:sz w:val="17"/>
        </w:rPr>
        <w:t xml:space="preserve">Zitiervorschlag: § 6 MitbestGWO 1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https://recht.nulegal.eu/gesetze/MitbestGWO%201%202002/6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