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MitbestG — Kommanditgesellschaft</w:t>
      </w:r>
    </w:p>
    <w:p>
      <w:r>
        <w:rPr>
          <w:color w:val="555555"/>
          <w:sz w:val="18"/>
        </w:rPr>
        <w:t xml:space="preserve">Mitbestimmungsgesetz</w:t>
      </w:r>
    </w:p>
    <w:p>
      <w:r>
        <w:rPr>
          <w:color w:val="555555"/>
          <w:sz w:val="18"/>
        </w:rPr>
        <w:t xml:space="preserve">Stand: 10.06.2019 (konsolidierte Textfassung, kein amtliches Inkrafttretensdatum)</w:t>
      </w:r>
    </w:p>
    <w:p>
      <w:r>
        <w:t xml:space="preserve">(1) Ist ein in § 1 Abs. 1 Nr. 1 bezeichnetes Unternehmen persönlich haftender Gesellschafter einer Kommanditgesellschaft und hat die Mehrheit der Kommanditisten dieser Kommanditgesellschaft, berechnet nach der Mehrheit der Anteile oder der Stimmen, die Mehrheit der Anteile oder der Stimmen in dem Unternehmen des persönlich haftenden Gesellschafters inne, so gelten für die Anwendung dieses Gesetzes auf den persönlich haftenden Gesellschafter die Arbeitnehmer der Kommanditgesellschaft als Arbeitnehmer des persönlich haftenden Gesellschafters, sofern nicht der persönlich haftende Gesellschafter einen eigenen Geschäftsbetrieb mit in der Regel mehr als 500 Arbeitnehmern hat. Ist die Kommanditgesellschaft persönlich haftender Gesellschafter einer anderen Kommanditgesellschaft, so gelten auch deren Arbeitnehmer als Arbeitnehmer des in § 1 Abs. 1 Nr. 1 bezeichneten Unternehmens. Dies gilt entsprechend, wenn sich die Verbindung von Kommanditgesellschaften in dieser Weise fortsetzt.</w:t>
      </w:r>
    </w:p>
    <w:p>
      <w:r>
        <w:t xml:space="preserve">(2) Das Unternehmen kann von der Führung der Geschäfte der Kommanditgesellschaft nicht ausgeschlossen werden.</w:t>
      </w:r>
    </w:p>
    <w:p>
      <w:r>
        <w:rPr>
          <w:color w:val="555555"/>
          <w:sz w:val="17"/>
        </w:rPr>
        <w:t xml:space="preserve">Zitiervorschlag: § 4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