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MitbestG — Verweisungen</w:t>
      </w:r>
    </w:p>
    <w:p>
      <w:r>
        <w:rPr>
          <w:color w:val="555555"/>
          <w:sz w:val="18"/>
        </w:rPr>
        <w:t xml:space="preserve">Mitbestimmungsgesetz</w:t>
      </w:r>
    </w:p>
    <w:p>
      <w:r>
        <w:rPr>
          <w:color w:val="555555"/>
          <w:sz w:val="18"/>
        </w:rPr>
        <w:t xml:space="preserve">Stand: 10.06.2019 (konsolidierte Textfassung, kein amtliches Inkrafttretensdatum)</w:t>
      </w:r>
    </w:p>
    <w:p>
      <w:r>
        <w:t xml:space="preserve">(1) Soweit in anderen Vorschriften auf Vorschriften des Betriebsverfassungsgesetzes 1952 über die Vertretung der Arbeitnehmer in den Aufsichtsräten von Unternehmen verwiesen wird, gelten diese Verweisungen für die in § 1 Abs. 1 dieses Gesetzes bezeichneten Unternehmen als Verweisungen auf dieses Gesetz.</w:t>
      </w:r>
    </w:p>
    <w:p>
      <w:r>
        <w:t xml:space="preserve">(2) Soweit in anderen Vorschriften für das Gesetz über die Mitbestimmung der Arbeitnehmer in den Aufsichtsräten und Vorständen der Unternehmen des Bergbaus und der Eisen und Stahl erzeugenden Industrie vom 21. Mai 1951 (Bundesgesetzbl. I S. 347) die Bezeichnung "Mitbestimmungsgesetz" verwendet wird, tritt an ihre Stelle die Bezeichnung "Montan-Mitbestimmungsgesetz".</w:t>
      </w:r>
    </w:p>
    <w:p>
      <w:r>
        <w:rPr>
          <w:color w:val="555555"/>
          <w:sz w:val="17"/>
        </w:rPr>
        <w:t xml:space="preserve">Zitiervorschlag: § 36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