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MitbestG — Arbeitsdirektor</w:t>
      </w:r>
    </w:p>
    <w:p>
      <w:r>
        <w:rPr>
          <w:color w:val="555555"/>
          <w:sz w:val="18"/>
        </w:rPr>
        <w:t xml:space="preserve">Mitbestimmungsgesetz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Als gleichberechtigtes Mitglied des zur gesetzlichen Vertretung des Unternehmens befugten Organs wird ein Arbeitsdirektor bestellt. Dies gilt nicht für Kommanditgesellschaften auf Aktien.</w:t>
      </w:r>
    </w:p>
    <w:p>
      <w:r>
        <w:t xml:space="preserve">(2) Der Arbeitsdirektor hat wie die übrigen Mitglieder des zur gesetzlichen Vertretung des Unternehmens befugten Organs seine Aufgaben im engsten Einvernehmen mit dem Gesamtorgan auszuüben. Das Nähere bestimmt die Geschäftsordnung.</w:t>
      </w:r>
    </w:p>
    <w:p>
      <w:r>
        <w:t xml:space="preserve">(3) Bei Genossenschaften ist auf den Arbeitsdirektor § 9 Abs. 2 des Genossenschaftsgesetzes nicht anzuwenden.</w:t>
      </w:r>
    </w:p>
    <w:p>
      <w:r>
        <w:rPr>
          <w:color w:val="555555"/>
          <w:sz w:val="17"/>
        </w:rPr>
        <w:t xml:space="preserve">Zitiervorschlag: § 33 MitbestG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https://recht.nulegal.eu/gesetze/MitbestG/33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