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MitbestG — Arbeitnehmer und Betrieb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Arbeitnehmer im Sinne dieses Gesetzes sind</w:t>
      </w:r>
    </w:p>
    <w:p>
      <w:pPr>
        <w:ind w:left="420"/>
      </w:pPr>
      <w:r>
        <w:t xml:space="preserve">1. die in § 5 Abs. 1 des Betriebsverfassungsgesetzes bezeichneten Personen mit Ausnahme der in § 5 Abs. 3 des Betriebsverfassungsgesetzes bezeichneten leitenden Angestellten,</w:t>
      </w:r>
    </w:p>
    <w:p>
      <w:pPr>
        <w:ind w:left="420"/>
      </w:pPr>
      <w:r>
        <w:t xml:space="preserve">2. die in § 5 Abs. 3 des Betriebsverfassungsgesetzes bezeichneten leitenden Angestellten.</w:t>
      </w:r>
    </w:p>
    <w:p>
      <w:r>
        <w:t xml:space="preserve">Keine Arbeitnehmer im Sinne dieses Gesetzes sind die in § 5 Abs. 2 des Betriebsverfassungsgesetzes bezeichneten Personen.</w:t>
      </w:r>
    </w:p>
    <w:p>
      <w:r>
        <w:t xml:space="preserve">(2) Betriebe im Sinne dieses Gesetzes sind solche des Betriebsverfassungsgesetzes. § 4 Abs. 2 des Betriebsverfassungsgesetzes ist anzuwenden.</w:t>
      </w:r>
    </w:p>
    <w:p>
      <w:r>
        <w:rPr>
          <w:color w:val="555555"/>
          <w:sz w:val="17"/>
        </w:rPr>
        <w:t xml:space="preserve">Zitiervorschlag: § 3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