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MitbestG — Abstimmungen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Beschlüsse des Aufsichtsrats bedürfen der Mehrheit der abgegebenen Stimmen, soweit nicht in Absatz 2 und in den §§ 27, 31 und 32 etwas anderes bestimmt ist.</w:t>
      </w:r>
    </w:p>
    <w:p>
      <w:r>
        <w:t xml:space="preserve">(2) Ergibt eine Abstimmung im Aufsichtsrat Stimmengleichheit, so hat bei einer erneuten Abstimmung über denselben Gegenstand, wenn auch sie Stimmengleichheit ergibt, der Aufsichtsratsvorsitzende zwei Stimmen. § 108 Abs. 3 des Aktiengesetzes ist auch auf die Abgabe der zweiten Stimme anzuwenden. Dem Stellvertreter steht die zweite Stimme nicht zu.</w:t>
      </w:r>
    </w:p>
    <w:p>
      <w:r>
        <w:rPr>
          <w:color w:val="555555"/>
          <w:sz w:val="17"/>
        </w:rPr>
        <w:t xml:space="preserve">Zitiervorschlag: § 29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